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2.xml" ContentType="application/vnd.openxmlformats-officedocument.wordprocessingml.footer+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footer3.xml" ContentType="application/vnd.openxmlformats-officedocument.wordprocessingml.footer+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CDB" w:rsidRPr="00C90523" w:rsidRDefault="00222CDB" w:rsidP="00B75B80">
      <w:pPr>
        <w:spacing w:after="0" w:line="240" w:lineRule="auto"/>
        <w:jc w:val="center"/>
        <w:rPr>
          <w:b/>
          <w:sz w:val="28"/>
          <w:szCs w:val="28"/>
        </w:rPr>
      </w:pPr>
      <w:bookmarkStart w:id="0" w:name="_GoBack"/>
      <w:bookmarkEnd w:id="0"/>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8375FD" w:rsidP="00B75B80">
      <w:pPr>
        <w:spacing w:after="0" w:line="240" w:lineRule="auto"/>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129540</wp:posOffset>
                </wp:positionH>
                <wp:positionV relativeFrom="paragraph">
                  <wp:posOffset>74295</wp:posOffset>
                </wp:positionV>
                <wp:extent cx="5495925" cy="2519045"/>
                <wp:effectExtent l="0" t="0" r="28575" b="33655"/>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51904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8A7270" w:rsidRDefault="008A7270" w:rsidP="007076FC">
                            <w:pPr>
                              <w:spacing w:after="0" w:line="240" w:lineRule="auto"/>
                              <w:jc w:val="center"/>
                              <w:rPr>
                                <w:b/>
                                <w:sz w:val="36"/>
                                <w:szCs w:val="36"/>
                                <w:lang w:val="pt-BR"/>
                              </w:rPr>
                            </w:pPr>
                          </w:p>
                          <w:p w:rsidR="008A7270" w:rsidRDefault="008A7270" w:rsidP="007076FC">
                            <w:pPr>
                              <w:spacing w:after="0" w:line="240" w:lineRule="auto"/>
                              <w:jc w:val="center"/>
                              <w:rPr>
                                <w:b/>
                                <w:sz w:val="36"/>
                                <w:szCs w:val="36"/>
                                <w:lang w:val="pt-BR"/>
                              </w:rPr>
                            </w:pPr>
                            <w:r w:rsidRPr="0061351D">
                              <w:rPr>
                                <w:b/>
                                <w:sz w:val="36"/>
                                <w:szCs w:val="36"/>
                                <w:lang w:val="pt-BR"/>
                              </w:rPr>
                              <w:t xml:space="preserve">PLANO NACIONAL DE IGUALDADE DE GÉNERO </w:t>
                            </w:r>
                          </w:p>
                          <w:p w:rsidR="008A7270" w:rsidRPr="0061351D" w:rsidRDefault="008A7270" w:rsidP="007076FC">
                            <w:pPr>
                              <w:spacing w:after="0" w:line="240" w:lineRule="auto"/>
                              <w:jc w:val="center"/>
                              <w:rPr>
                                <w:b/>
                                <w:sz w:val="36"/>
                                <w:szCs w:val="36"/>
                                <w:lang w:val="pt-BR"/>
                              </w:rPr>
                            </w:pPr>
                            <w:r w:rsidRPr="0061351D">
                              <w:rPr>
                                <w:b/>
                                <w:sz w:val="36"/>
                                <w:szCs w:val="36"/>
                                <w:lang w:val="pt-BR"/>
                              </w:rPr>
                              <w:t xml:space="preserve">2015-2018 </w:t>
                            </w:r>
                          </w:p>
                          <w:p w:rsidR="008A7270" w:rsidRDefault="008A7270" w:rsidP="007076FC">
                            <w:pPr>
                              <w:spacing w:after="0" w:line="240" w:lineRule="auto"/>
                              <w:jc w:val="center"/>
                              <w:rPr>
                                <w:b/>
                                <w:sz w:val="36"/>
                                <w:szCs w:val="36"/>
                                <w:lang w:val="pt-BR"/>
                              </w:rPr>
                            </w:pPr>
                            <w:r w:rsidRPr="0061351D">
                              <w:rPr>
                                <w:b/>
                                <w:sz w:val="36"/>
                                <w:szCs w:val="36"/>
                                <w:lang w:val="pt-BR"/>
                              </w:rPr>
                              <w:t>CABO VERDE</w:t>
                            </w:r>
                          </w:p>
                          <w:p w:rsidR="008A7270" w:rsidRDefault="008A7270" w:rsidP="007076FC">
                            <w:pPr>
                              <w:spacing w:after="0" w:line="240" w:lineRule="auto"/>
                              <w:jc w:val="center"/>
                              <w:rPr>
                                <w:b/>
                                <w:sz w:val="36"/>
                                <w:szCs w:val="36"/>
                                <w:lang w:val="pt-BR"/>
                              </w:rPr>
                            </w:pPr>
                          </w:p>
                          <w:p w:rsidR="008A7270" w:rsidRDefault="008A7270" w:rsidP="007076FC">
                            <w:pPr>
                              <w:spacing w:after="0" w:line="240" w:lineRule="auto"/>
                              <w:jc w:val="center"/>
                              <w:rPr>
                                <w:b/>
                                <w:sz w:val="36"/>
                                <w:szCs w:val="36"/>
                                <w:lang w:val="pt-BR"/>
                              </w:rPr>
                            </w:pPr>
                          </w:p>
                          <w:p w:rsidR="008A7270" w:rsidRPr="00575A04" w:rsidRDefault="008A7270" w:rsidP="007076FC">
                            <w:pPr>
                              <w:spacing w:after="0" w:line="240" w:lineRule="auto"/>
                              <w:jc w:val="center"/>
                              <w:rPr>
                                <w:rFonts w:ascii="Aparajita" w:hAnsi="Aparajita" w:cs="Aparajita"/>
                                <w:b/>
                                <w:sz w:val="40"/>
                                <w:szCs w:val="40"/>
                                <w:lang w:val="pt-BR"/>
                              </w:rPr>
                            </w:pPr>
                            <w:r w:rsidRPr="00575A04">
                              <w:rPr>
                                <w:rFonts w:ascii="Aparajita" w:hAnsi="Aparajita" w:cs="Aparajita"/>
                                <w:b/>
                                <w:sz w:val="40"/>
                                <w:szCs w:val="40"/>
                                <w:lang w:val="pt-BR"/>
                              </w:rPr>
                              <w:t>Uma agenda conjunta para fazer a diferença</w:t>
                            </w:r>
                          </w:p>
                          <w:p w:rsidR="008A7270" w:rsidRDefault="008A7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left:0;text-align:left;margin-left:10.2pt;margin-top:5.85pt;width:432.75pt;height:19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" fillcolor="white [3201]" strokecolor="#92cddc [1944]" strokeweight="1pt">
                <v:fill color2="#b6dde8 [1304]" focus="100%" type="gradient"/>
                <v:shadow on="t" color="#205867 [1608]" opacity=".5" offset="1pt"/>
                <v:textbox>
                  <w:txbxContent>
                    <w:p w:rsidR="008A7270" w:rsidRDefault="008A7270" w:rsidP="007076FC">
                      <w:pPr>
                        <w:spacing w:after="0" w:line="240" w:lineRule="auto"/>
                        <w:jc w:val="center"/>
                        <w:rPr>
                          <w:b/>
                          <w:sz w:val="36"/>
                          <w:szCs w:val="36"/>
                          <w:lang w:val="pt-BR"/>
                        </w:rPr>
                      </w:pPr>
                    </w:p>
                    <w:p w:rsidR="008A7270" w:rsidRDefault="008A7270" w:rsidP="007076FC">
                      <w:pPr>
                        <w:spacing w:after="0" w:line="240" w:lineRule="auto"/>
                        <w:jc w:val="center"/>
                        <w:rPr>
                          <w:b/>
                          <w:sz w:val="36"/>
                          <w:szCs w:val="36"/>
                          <w:lang w:val="pt-BR"/>
                        </w:rPr>
                      </w:pPr>
                      <w:r w:rsidRPr="0061351D">
                        <w:rPr>
                          <w:b/>
                          <w:sz w:val="36"/>
                          <w:szCs w:val="36"/>
                          <w:lang w:val="pt-BR"/>
                        </w:rPr>
                        <w:t xml:space="preserve">PLANO NACIONAL DE IGUALDADE DE GÉNERO </w:t>
                      </w:r>
                    </w:p>
                    <w:p w:rsidR="008A7270" w:rsidRPr="0061351D" w:rsidRDefault="008A7270" w:rsidP="007076FC">
                      <w:pPr>
                        <w:spacing w:after="0" w:line="240" w:lineRule="auto"/>
                        <w:jc w:val="center"/>
                        <w:rPr>
                          <w:b/>
                          <w:sz w:val="36"/>
                          <w:szCs w:val="36"/>
                          <w:lang w:val="pt-BR"/>
                        </w:rPr>
                      </w:pPr>
                      <w:r w:rsidRPr="0061351D">
                        <w:rPr>
                          <w:b/>
                          <w:sz w:val="36"/>
                          <w:szCs w:val="36"/>
                          <w:lang w:val="pt-BR"/>
                        </w:rPr>
                        <w:t xml:space="preserve">2015-2018 </w:t>
                      </w:r>
                    </w:p>
                    <w:p w:rsidR="008A7270" w:rsidRDefault="008A7270" w:rsidP="007076FC">
                      <w:pPr>
                        <w:spacing w:after="0" w:line="240" w:lineRule="auto"/>
                        <w:jc w:val="center"/>
                        <w:rPr>
                          <w:b/>
                          <w:sz w:val="36"/>
                          <w:szCs w:val="36"/>
                          <w:lang w:val="pt-BR"/>
                        </w:rPr>
                      </w:pPr>
                      <w:r w:rsidRPr="0061351D">
                        <w:rPr>
                          <w:b/>
                          <w:sz w:val="36"/>
                          <w:szCs w:val="36"/>
                          <w:lang w:val="pt-BR"/>
                        </w:rPr>
                        <w:t>CABO VERDE</w:t>
                      </w:r>
                    </w:p>
                    <w:p w:rsidR="008A7270" w:rsidRDefault="008A7270" w:rsidP="007076FC">
                      <w:pPr>
                        <w:spacing w:after="0" w:line="240" w:lineRule="auto"/>
                        <w:jc w:val="center"/>
                        <w:rPr>
                          <w:b/>
                          <w:sz w:val="36"/>
                          <w:szCs w:val="36"/>
                          <w:lang w:val="pt-BR"/>
                        </w:rPr>
                      </w:pPr>
                    </w:p>
                    <w:p w:rsidR="008A7270" w:rsidRDefault="008A7270" w:rsidP="007076FC">
                      <w:pPr>
                        <w:spacing w:after="0" w:line="240" w:lineRule="auto"/>
                        <w:jc w:val="center"/>
                        <w:rPr>
                          <w:b/>
                          <w:sz w:val="36"/>
                          <w:szCs w:val="36"/>
                          <w:lang w:val="pt-BR"/>
                        </w:rPr>
                      </w:pPr>
                    </w:p>
                    <w:p w:rsidR="008A7270" w:rsidRPr="00575A04" w:rsidRDefault="008A7270" w:rsidP="007076FC">
                      <w:pPr>
                        <w:spacing w:after="0" w:line="240" w:lineRule="auto"/>
                        <w:jc w:val="center"/>
                        <w:rPr>
                          <w:rFonts w:ascii="Aparajita" w:hAnsi="Aparajita" w:cs="Aparajita"/>
                          <w:b/>
                          <w:sz w:val="40"/>
                          <w:szCs w:val="40"/>
                          <w:lang w:val="pt-BR"/>
                        </w:rPr>
                      </w:pPr>
                      <w:r w:rsidRPr="00575A04">
                        <w:rPr>
                          <w:rFonts w:ascii="Aparajita" w:hAnsi="Aparajita" w:cs="Aparajita"/>
                          <w:b/>
                          <w:sz w:val="40"/>
                          <w:szCs w:val="40"/>
                          <w:lang w:val="pt-BR"/>
                        </w:rPr>
                        <w:t>Uma agenda conjunta para fazer a diferença</w:t>
                      </w:r>
                    </w:p>
                    <w:p w:rsidR="008A7270" w:rsidRDefault="008A7270"/>
                  </w:txbxContent>
                </v:textbox>
              </v:roundrect>
            </w:pict>
          </mc:Fallback>
        </mc:AlternateContent>
      </w: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222CDB" w:rsidRPr="00C90523" w:rsidRDefault="00222CDB" w:rsidP="00B75B80">
      <w:pPr>
        <w:spacing w:after="0" w:line="240" w:lineRule="auto"/>
        <w:jc w:val="center"/>
        <w:rPr>
          <w:b/>
          <w:sz w:val="28"/>
          <w:szCs w:val="28"/>
        </w:rPr>
      </w:pPr>
    </w:p>
    <w:p w:rsidR="0061351D" w:rsidRPr="00C90523" w:rsidRDefault="0061351D" w:rsidP="00B75B80">
      <w:pPr>
        <w:spacing w:after="0" w:line="240" w:lineRule="auto"/>
        <w:jc w:val="center"/>
        <w:rPr>
          <w:b/>
          <w:sz w:val="36"/>
          <w:szCs w:val="36"/>
        </w:rPr>
      </w:pPr>
    </w:p>
    <w:p w:rsidR="00575A04" w:rsidRDefault="00575A04" w:rsidP="00B75B80">
      <w:pPr>
        <w:spacing w:after="0"/>
        <w:jc w:val="center"/>
        <w:rPr>
          <w:i/>
          <w:sz w:val="28"/>
          <w:szCs w:val="28"/>
        </w:rPr>
      </w:pPr>
    </w:p>
    <w:p w:rsidR="00575A04" w:rsidRDefault="00575A04" w:rsidP="00B75B80">
      <w:pPr>
        <w:spacing w:after="0"/>
        <w:jc w:val="center"/>
        <w:rPr>
          <w:i/>
          <w:sz w:val="28"/>
          <w:szCs w:val="28"/>
        </w:rPr>
      </w:pPr>
    </w:p>
    <w:p w:rsidR="00575A04" w:rsidRDefault="00575A04" w:rsidP="00B75B80">
      <w:pPr>
        <w:spacing w:after="0"/>
        <w:jc w:val="center"/>
        <w:rPr>
          <w:i/>
          <w:sz w:val="28"/>
          <w:szCs w:val="28"/>
        </w:rPr>
      </w:pPr>
    </w:p>
    <w:p w:rsidR="00575A04" w:rsidRDefault="00575A04" w:rsidP="00B75B80">
      <w:pPr>
        <w:spacing w:after="0"/>
        <w:jc w:val="center"/>
        <w:rPr>
          <w:i/>
          <w:sz w:val="28"/>
          <w:szCs w:val="28"/>
        </w:rPr>
      </w:pPr>
    </w:p>
    <w:p w:rsidR="00222CDB" w:rsidRPr="00C90523" w:rsidRDefault="006568A3" w:rsidP="00B75B80">
      <w:pPr>
        <w:spacing w:after="0"/>
        <w:jc w:val="center"/>
        <w:rPr>
          <w:i/>
          <w:sz w:val="28"/>
          <w:szCs w:val="28"/>
        </w:rPr>
      </w:pPr>
      <w:r w:rsidRPr="006568A3">
        <w:rPr>
          <w:i/>
          <w:sz w:val="28"/>
          <w:szCs w:val="28"/>
        </w:rPr>
        <w:t xml:space="preserve">Versão </w:t>
      </w:r>
      <w:r w:rsidR="00C77BE6">
        <w:rPr>
          <w:i/>
          <w:sz w:val="28"/>
          <w:szCs w:val="28"/>
        </w:rPr>
        <w:t>Final</w:t>
      </w:r>
      <w:r w:rsidRPr="006568A3">
        <w:rPr>
          <w:i/>
          <w:sz w:val="28"/>
          <w:szCs w:val="28"/>
        </w:rPr>
        <w:t xml:space="preserve"> - 30 Novembro 2014</w:t>
      </w:r>
    </w:p>
    <w:p w:rsidR="00222CDB" w:rsidRPr="00C90523" w:rsidRDefault="006568A3">
      <w:pPr>
        <w:rPr>
          <w:i/>
          <w:sz w:val="28"/>
          <w:szCs w:val="28"/>
        </w:rPr>
      </w:pPr>
      <w:r w:rsidRPr="006568A3">
        <w:rPr>
          <w:i/>
          <w:sz w:val="28"/>
          <w:szCs w:val="28"/>
        </w:rPr>
        <w:br w:type="page"/>
      </w:r>
    </w:p>
    <w:p w:rsidR="00DD6B2A" w:rsidRPr="00C90523" w:rsidRDefault="00DD6B2A" w:rsidP="00B75B80">
      <w:pPr>
        <w:spacing w:after="0"/>
        <w:jc w:val="center"/>
        <w:rPr>
          <w:i/>
          <w:sz w:val="28"/>
          <w:szCs w:val="28"/>
        </w:rPr>
      </w:pPr>
    </w:p>
    <w:p w:rsidR="001265F0" w:rsidRPr="00C90523" w:rsidRDefault="001265F0" w:rsidP="001265F0"/>
    <w:sdt>
      <w:sdtPr>
        <w:rPr>
          <w:rFonts w:asciiTheme="minorHAnsi" w:eastAsiaTheme="minorHAnsi" w:hAnsiTheme="minorHAnsi" w:cstheme="minorBidi"/>
          <w:b w:val="0"/>
          <w:bCs w:val="0"/>
          <w:color w:val="auto"/>
          <w:sz w:val="22"/>
          <w:szCs w:val="22"/>
          <w:lang w:val="pt-PT"/>
        </w:rPr>
        <w:id w:val="706020344"/>
        <w:docPartObj>
          <w:docPartGallery w:val="Table of Contents"/>
          <w:docPartUnique/>
        </w:docPartObj>
      </w:sdtPr>
      <w:sdtEndPr>
        <w:rPr>
          <w:rFonts w:eastAsiaTheme="minorEastAsia"/>
        </w:rPr>
      </w:sdtEndPr>
      <w:sdtContent>
        <w:p w:rsidR="001265F0" w:rsidRPr="00C90523" w:rsidRDefault="006568A3">
          <w:pPr>
            <w:pStyle w:val="Cabealhodondice"/>
            <w:rPr>
              <w:lang w:val="pt-PT"/>
            </w:rPr>
          </w:pPr>
          <w:r w:rsidRPr="006568A3">
            <w:rPr>
              <w:lang w:val="pt-PT"/>
            </w:rPr>
            <w:t>CONTE</w:t>
          </w:r>
          <w:r w:rsidR="00F54E8A">
            <w:rPr>
              <w:lang w:val="pt-PT"/>
            </w:rPr>
            <w:t>Ú</w:t>
          </w:r>
          <w:r w:rsidRPr="006568A3">
            <w:rPr>
              <w:lang w:val="pt-PT"/>
            </w:rPr>
            <w:t>DO</w:t>
          </w:r>
        </w:p>
        <w:p w:rsidR="00E14252" w:rsidRPr="00C90523" w:rsidRDefault="00E14252">
          <w:pPr>
            <w:pStyle w:val="ndice1"/>
            <w:tabs>
              <w:tab w:val="right" w:leader="dot" w:pos="8494"/>
            </w:tabs>
          </w:pPr>
        </w:p>
        <w:p w:rsidR="00502FB2" w:rsidRDefault="00F202BB">
          <w:pPr>
            <w:pStyle w:val="ndice1"/>
            <w:tabs>
              <w:tab w:val="right" w:leader="dot" w:pos="8494"/>
            </w:tabs>
            <w:rPr>
              <w:noProof/>
              <w:lang w:val="es-ES" w:eastAsia="es-ES"/>
            </w:rPr>
          </w:pPr>
          <w:r w:rsidRPr="006568A3">
            <w:fldChar w:fldCharType="begin"/>
          </w:r>
          <w:r w:rsidR="006568A3" w:rsidRPr="006568A3">
            <w:instrText xml:space="preserve"> TOC \o "1-3" \h \z \u </w:instrText>
          </w:r>
          <w:r w:rsidRPr="006568A3">
            <w:fldChar w:fldCharType="separate"/>
          </w:r>
          <w:hyperlink w:anchor="_Toc406667256" w:history="1">
            <w:r w:rsidR="00502FB2" w:rsidRPr="00A959E9">
              <w:rPr>
                <w:rStyle w:val="Hiperligao"/>
                <w:noProof/>
                <w:highlight w:val="green"/>
              </w:rPr>
              <w:t>PREFÁCIO/APRESENTAÇÃO</w:t>
            </w:r>
            <w:r w:rsidR="00502FB2">
              <w:rPr>
                <w:noProof/>
                <w:webHidden/>
              </w:rPr>
              <w:tab/>
            </w:r>
            <w:r w:rsidR="00502FB2">
              <w:rPr>
                <w:noProof/>
                <w:webHidden/>
              </w:rPr>
              <w:fldChar w:fldCharType="begin"/>
            </w:r>
            <w:r w:rsidR="00502FB2">
              <w:rPr>
                <w:noProof/>
                <w:webHidden/>
              </w:rPr>
              <w:instrText xml:space="preserve"> PAGEREF _Toc406667256 \h </w:instrText>
            </w:r>
            <w:r w:rsidR="00502FB2">
              <w:rPr>
                <w:noProof/>
                <w:webHidden/>
              </w:rPr>
            </w:r>
            <w:r w:rsidR="00502FB2">
              <w:rPr>
                <w:noProof/>
                <w:webHidden/>
              </w:rPr>
              <w:fldChar w:fldCharType="separate"/>
            </w:r>
            <w:r w:rsidR="00502FB2">
              <w:rPr>
                <w:noProof/>
                <w:webHidden/>
              </w:rPr>
              <w:t>3</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57" w:history="1">
            <w:r w:rsidR="00502FB2" w:rsidRPr="00A959E9">
              <w:rPr>
                <w:rStyle w:val="Hiperligao"/>
                <w:noProof/>
              </w:rPr>
              <w:t>PARTE I: INTRODUÇÃO</w:t>
            </w:r>
            <w:r w:rsidR="00502FB2">
              <w:rPr>
                <w:noProof/>
                <w:webHidden/>
              </w:rPr>
              <w:tab/>
            </w:r>
            <w:r w:rsidR="00502FB2">
              <w:rPr>
                <w:noProof/>
                <w:webHidden/>
              </w:rPr>
              <w:fldChar w:fldCharType="begin"/>
            </w:r>
            <w:r w:rsidR="00502FB2">
              <w:rPr>
                <w:noProof/>
                <w:webHidden/>
              </w:rPr>
              <w:instrText xml:space="preserve"> PAGEREF _Toc406667257 \h </w:instrText>
            </w:r>
            <w:r w:rsidR="00502FB2">
              <w:rPr>
                <w:noProof/>
                <w:webHidden/>
              </w:rPr>
            </w:r>
            <w:r w:rsidR="00502FB2">
              <w:rPr>
                <w:noProof/>
                <w:webHidden/>
              </w:rPr>
              <w:fldChar w:fldCharType="separate"/>
            </w:r>
            <w:r w:rsidR="00502FB2">
              <w:rPr>
                <w:noProof/>
                <w:webHidden/>
              </w:rPr>
              <w:t>4</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58" w:history="1">
            <w:r w:rsidR="00502FB2" w:rsidRPr="00A959E9">
              <w:rPr>
                <w:rStyle w:val="Hiperligao"/>
                <w:noProof/>
              </w:rPr>
              <w:t>1. INTRODUÇÃO</w:t>
            </w:r>
            <w:r w:rsidR="00502FB2">
              <w:rPr>
                <w:noProof/>
                <w:webHidden/>
              </w:rPr>
              <w:tab/>
            </w:r>
            <w:r w:rsidR="00502FB2">
              <w:rPr>
                <w:noProof/>
                <w:webHidden/>
              </w:rPr>
              <w:fldChar w:fldCharType="begin"/>
            </w:r>
            <w:r w:rsidR="00502FB2">
              <w:rPr>
                <w:noProof/>
                <w:webHidden/>
              </w:rPr>
              <w:instrText xml:space="preserve"> PAGEREF _Toc406667258 \h </w:instrText>
            </w:r>
            <w:r w:rsidR="00502FB2">
              <w:rPr>
                <w:noProof/>
                <w:webHidden/>
              </w:rPr>
            </w:r>
            <w:r w:rsidR="00502FB2">
              <w:rPr>
                <w:noProof/>
                <w:webHidden/>
              </w:rPr>
              <w:fldChar w:fldCharType="separate"/>
            </w:r>
            <w:r w:rsidR="00502FB2">
              <w:rPr>
                <w:noProof/>
                <w:webHidden/>
              </w:rPr>
              <w:t>5</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59" w:history="1">
            <w:r w:rsidR="00502FB2" w:rsidRPr="00A959E9">
              <w:rPr>
                <w:rStyle w:val="Hiperligao"/>
                <w:noProof/>
              </w:rPr>
              <w:t>2. QUADRO CONCEPTUAL RELATIVO À IGUALDADE DE GÉNERO</w:t>
            </w:r>
            <w:r w:rsidR="00502FB2">
              <w:rPr>
                <w:noProof/>
                <w:webHidden/>
              </w:rPr>
              <w:tab/>
            </w:r>
            <w:r w:rsidR="00502FB2">
              <w:rPr>
                <w:noProof/>
                <w:webHidden/>
              </w:rPr>
              <w:fldChar w:fldCharType="begin"/>
            </w:r>
            <w:r w:rsidR="00502FB2">
              <w:rPr>
                <w:noProof/>
                <w:webHidden/>
              </w:rPr>
              <w:instrText xml:space="preserve"> PAGEREF _Toc406667259 \h </w:instrText>
            </w:r>
            <w:r w:rsidR="00502FB2">
              <w:rPr>
                <w:noProof/>
                <w:webHidden/>
              </w:rPr>
            </w:r>
            <w:r w:rsidR="00502FB2">
              <w:rPr>
                <w:noProof/>
                <w:webHidden/>
              </w:rPr>
              <w:fldChar w:fldCharType="separate"/>
            </w:r>
            <w:r w:rsidR="00502FB2">
              <w:rPr>
                <w:noProof/>
                <w:webHidden/>
              </w:rPr>
              <w:t>9</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260" w:history="1">
            <w:r w:rsidR="00502FB2" w:rsidRPr="00A959E9">
              <w:rPr>
                <w:rStyle w:val="Hiperligao"/>
                <w:noProof/>
              </w:rPr>
              <w:t>2.1. ELEMENTOS CONCEPTUAIS LIGADOS À IGUALDADE DE GÉNERO</w:t>
            </w:r>
            <w:r w:rsidR="00502FB2">
              <w:rPr>
                <w:noProof/>
                <w:webHidden/>
              </w:rPr>
              <w:tab/>
            </w:r>
            <w:r w:rsidR="00502FB2">
              <w:rPr>
                <w:noProof/>
                <w:webHidden/>
              </w:rPr>
              <w:fldChar w:fldCharType="begin"/>
            </w:r>
            <w:r w:rsidR="00502FB2">
              <w:rPr>
                <w:noProof/>
                <w:webHidden/>
              </w:rPr>
              <w:instrText xml:space="preserve"> PAGEREF _Toc406667260 \h </w:instrText>
            </w:r>
            <w:r w:rsidR="00502FB2">
              <w:rPr>
                <w:noProof/>
                <w:webHidden/>
              </w:rPr>
            </w:r>
            <w:r w:rsidR="00502FB2">
              <w:rPr>
                <w:noProof/>
                <w:webHidden/>
              </w:rPr>
              <w:fldChar w:fldCharType="separate"/>
            </w:r>
            <w:r w:rsidR="00502FB2">
              <w:rPr>
                <w:noProof/>
                <w:webHidden/>
              </w:rPr>
              <w:t>9</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61" w:history="1">
            <w:r w:rsidR="00502FB2" w:rsidRPr="00A959E9">
              <w:rPr>
                <w:rStyle w:val="Hiperligao"/>
                <w:noProof/>
              </w:rPr>
              <w:t>2.1.1. Igualdade e não discriminação</w:t>
            </w:r>
            <w:r w:rsidR="00502FB2">
              <w:rPr>
                <w:noProof/>
                <w:webHidden/>
              </w:rPr>
              <w:tab/>
            </w:r>
            <w:r w:rsidR="00502FB2">
              <w:rPr>
                <w:noProof/>
                <w:webHidden/>
              </w:rPr>
              <w:fldChar w:fldCharType="begin"/>
            </w:r>
            <w:r w:rsidR="00502FB2">
              <w:rPr>
                <w:noProof/>
                <w:webHidden/>
              </w:rPr>
              <w:instrText xml:space="preserve"> PAGEREF _Toc406667261 \h </w:instrText>
            </w:r>
            <w:r w:rsidR="00502FB2">
              <w:rPr>
                <w:noProof/>
                <w:webHidden/>
              </w:rPr>
            </w:r>
            <w:r w:rsidR="00502FB2">
              <w:rPr>
                <w:noProof/>
                <w:webHidden/>
              </w:rPr>
              <w:fldChar w:fldCharType="separate"/>
            </w:r>
            <w:r w:rsidR="00502FB2">
              <w:rPr>
                <w:noProof/>
                <w:webHidden/>
              </w:rPr>
              <w:t>10</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62" w:history="1">
            <w:r w:rsidR="00502FB2" w:rsidRPr="00A959E9">
              <w:rPr>
                <w:rStyle w:val="Hiperligao"/>
                <w:noProof/>
              </w:rPr>
              <w:t>2.1.2. Igualdade e equidade de género</w:t>
            </w:r>
            <w:r w:rsidR="00502FB2">
              <w:rPr>
                <w:noProof/>
                <w:webHidden/>
              </w:rPr>
              <w:tab/>
            </w:r>
            <w:r w:rsidR="00502FB2">
              <w:rPr>
                <w:noProof/>
                <w:webHidden/>
              </w:rPr>
              <w:fldChar w:fldCharType="begin"/>
            </w:r>
            <w:r w:rsidR="00502FB2">
              <w:rPr>
                <w:noProof/>
                <w:webHidden/>
              </w:rPr>
              <w:instrText xml:space="preserve"> PAGEREF _Toc406667262 \h </w:instrText>
            </w:r>
            <w:r w:rsidR="00502FB2">
              <w:rPr>
                <w:noProof/>
                <w:webHidden/>
              </w:rPr>
            </w:r>
            <w:r w:rsidR="00502FB2">
              <w:rPr>
                <w:noProof/>
                <w:webHidden/>
              </w:rPr>
              <w:fldChar w:fldCharType="separate"/>
            </w:r>
            <w:r w:rsidR="00502FB2">
              <w:rPr>
                <w:noProof/>
                <w:webHidden/>
              </w:rPr>
              <w:t>11</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63" w:history="1">
            <w:r w:rsidR="00502FB2" w:rsidRPr="00A959E9">
              <w:rPr>
                <w:rStyle w:val="Hiperligao"/>
                <w:noProof/>
              </w:rPr>
              <w:t>2.1.3. Transversalização  e igualdade de género</w:t>
            </w:r>
            <w:r w:rsidR="00502FB2">
              <w:rPr>
                <w:noProof/>
                <w:webHidden/>
              </w:rPr>
              <w:tab/>
            </w:r>
            <w:r w:rsidR="00502FB2">
              <w:rPr>
                <w:noProof/>
                <w:webHidden/>
              </w:rPr>
              <w:fldChar w:fldCharType="begin"/>
            </w:r>
            <w:r w:rsidR="00502FB2">
              <w:rPr>
                <w:noProof/>
                <w:webHidden/>
              </w:rPr>
              <w:instrText xml:space="preserve"> PAGEREF _Toc406667263 \h </w:instrText>
            </w:r>
            <w:r w:rsidR="00502FB2">
              <w:rPr>
                <w:noProof/>
                <w:webHidden/>
              </w:rPr>
            </w:r>
            <w:r w:rsidR="00502FB2">
              <w:rPr>
                <w:noProof/>
                <w:webHidden/>
              </w:rPr>
              <w:fldChar w:fldCharType="separate"/>
            </w:r>
            <w:r w:rsidR="00502FB2">
              <w:rPr>
                <w:noProof/>
                <w:webHidden/>
              </w:rPr>
              <w:t>11</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64" w:history="1">
            <w:r w:rsidR="00502FB2" w:rsidRPr="00A959E9">
              <w:rPr>
                <w:rStyle w:val="Hiperligao"/>
                <w:noProof/>
              </w:rPr>
              <w:t>2.1.4. Igualdade de género e empoderamento das mulheres</w:t>
            </w:r>
            <w:r w:rsidR="00502FB2">
              <w:rPr>
                <w:noProof/>
                <w:webHidden/>
              </w:rPr>
              <w:tab/>
            </w:r>
            <w:r w:rsidR="00502FB2">
              <w:rPr>
                <w:noProof/>
                <w:webHidden/>
              </w:rPr>
              <w:fldChar w:fldCharType="begin"/>
            </w:r>
            <w:r w:rsidR="00502FB2">
              <w:rPr>
                <w:noProof/>
                <w:webHidden/>
              </w:rPr>
              <w:instrText xml:space="preserve"> PAGEREF _Toc406667264 \h </w:instrText>
            </w:r>
            <w:r w:rsidR="00502FB2">
              <w:rPr>
                <w:noProof/>
                <w:webHidden/>
              </w:rPr>
            </w:r>
            <w:r w:rsidR="00502FB2">
              <w:rPr>
                <w:noProof/>
                <w:webHidden/>
              </w:rPr>
              <w:fldChar w:fldCharType="separate"/>
            </w:r>
            <w:r w:rsidR="00502FB2">
              <w:rPr>
                <w:noProof/>
                <w:webHidden/>
              </w:rPr>
              <w:t>12</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65" w:history="1">
            <w:r w:rsidR="00502FB2" w:rsidRPr="00A959E9">
              <w:rPr>
                <w:rStyle w:val="Hiperligao"/>
                <w:noProof/>
              </w:rPr>
              <w:t>2.1.5. Igualdade de género, economia productiva e reproductiva</w:t>
            </w:r>
            <w:r w:rsidR="00502FB2">
              <w:rPr>
                <w:noProof/>
                <w:webHidden/>
              </w:rPr>
              <w:tab/>
            </w:r>
            <w:r w:rsidR="00502FB2">
              <w:rPr>
                <w:noProof/>
                <w:webHidden/>
              </w:rPr>
              <w:fldChar w:fldCharType="begin"/>
            </w:r>
            <w:r w:rsidR="00502FB2">
              <w:rPr>
                <w:noProof/>
                <w:webHidden/>
              </w:rPr>
              <w:instrText xml:space="preserve"> PAGEREF _Toc406667265 \h </w:instrText>
            </w:r>
            <w:r w:rsidR="00502FB2">
              <w:rPr>
                <w:noProof/>
                <w:webHidden/>
              </w:rPr>
            </w:r>
            <w:r w:rsidR="00502FB2">
              <w:rPr>
                <w:noProof/>
                <w:webHidden/>
              </w:rPr>
              <w:fldChar w:fldCharType="separate"/>
            </w:r>
            <w:r w:rsidR="00502FB2">
              <w:rPr>
                <w:noProof/>
                <w:webHidden/>
              </w:rPr>
              <w:t>13</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266" w:history="1">
            <w:r w:rsidR="00502FB2" w:rsidRPr="00A959E9">
              <w:rPr>
                <w:rStyle w:val="Hiperligao"/>
                <w:noProof/>
              </w:rPr>
              <w:t>2.2. O QUE É E PARA QUE É UM PLANO PARA A IGUALDADE DE GÉNERO?</w:t>
            </w:r>
            <w:r w:rsidR="00502FB2">
              <w:rPr>
                <w:noProof/>
                <w:webHidden/>
              </w:rPr>
              <w:tab/>
            </w:r>
            <w:r w:rsidR="00502FB2">
              <w:rPr>
                <w:noProof/>
                <w:webHidden/>
              </w:rPr>
              <w:fldChar w:fldCharType="begin"/>
            </w:r>
            <w:r w:rsidR="00502FB2">
              <w:rPr>
                <w:noProof/>
                <w:webHidden/>
              </w:rPr>
              <w:instrText xml:space="preserve"> PAGEREF _Toc406667266 \h </w:instrText>
            </w:r>
            <w:r w:rsidR="00502FB2">
              <w:rPr>
                <w:noProof/>
                <w:webHidden/>
              </w:rPr>
            </w:r>
            <w:r w:rsidR="00502FB2">
              <w:rPr>
                <w:noProof/>
                <w:webHidden/>
              </w:rPr>
              <w:fldChar w:fldCharType="separate"/>
            </w:r>
            <w:r w:rsidR="00502FB2">
              <w:rPr>
                <w:noProof/>
                <w:webHidden/>
              </w:rPr>
              <w:t>15</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67" w:history="1">
            <w:r w:rsidR="00502FB2" w:rsidRPr="00A959E9">
              <w:rPr>
                <w:rStyle w:val="Hiperligao"/>
                <w:noProof/>
              </w:rPr>
              <w:t>PARTE II: CONTEXTO DE IMPLEMENTAÇÃO DO PNIG</w:t>
            </w:r>
            <w:r w:rsidR="00502FB2">
              <w:rPr>
                <w:noProof/>
                <w:webHidden/>
              </w:rPr>
              <w:tab/>
            </w:r>
            <w:r w:rsidR="00502FB2">
              <w:rPr>
                <w:noProof/>
                <w:webHidden/>
              </w:rPr>
              <w:fldChar w:fldCharType="begin"/>
            </w:r>
            <w:r w:rsidR="00502FB2">
              <w:rPr>
                <w:noProof/>
                <w:webHidden/>
              </w:rPr>
              <w:instrText xml:space="preserve"> PAGEREF _Toc406667267 \h </w:instrText>
            </w:r>
            <w:r w:rsidR="00502FB2">
              <w:rPr>
                <w:noProof/>
                <w:webHidden/>
              </w:rPr>
            </w:r>
            <w:r w:rsidR="00502FB2">
              <w:rPr>
                <w:noProof/>
                <w:webHidden/>
              </w:rPr>
              <w:fldChar w:fldCharType="separate"/>
            </w:r>
            <w:r w:rsidR="00502FB2">
              <w:rPr>
                <w:noProof/>
                <w:webHidden/>
              </w:rPr>
              <w:t>17</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68" w:history="1">
            <w:r w:rsidR="00502FB2" w:rsidRPr="00A959E9">
              <w:rPr>
                <w:rStyle w:val="Hiperligao"/>
                <w:noProof/>
              </w:rPr>
              <w:t>1. CONTEXTO DEMOGRÁFICO, SOCIOECONÓMICO E CULTURAL DO PAÍS</w:t>
            </w:r>
            <w:r w:rsidR="00502FB2">
              <w:rPr>
                <w:noProof/>
                <w:webHidden/>
              </w:rPr>
              <w:tab/>
            </w:r>
            <w:r w:rsidR="00502FB2">
              <w:rPr>
                <w:noProof/>
                <w:webHidden/>
              </w:rPr>
              <w:fldChar w:fldCharType="begin"/>
            </w:r>
            <w:r w:rsidR="00502FB2">
              <w:rPr>
                <w:noProof/>
                <w:webHidden/>
              </w:rPr>
              <w:instrText xml:space="preserve"> PAGEREF _Toc406667268 \h </w:instrText>
            </w:r>
            <w:r w:rsidR="00502FB2">
              <w:rPr>
                <w:noProof/>
                <w:webHidden/>
              </w:rPr>
            </w:r>
            <w:r w:rsidR="00502FB2">
              <w:rPr>
                <w:noProof/>
                <w:webHidden/>
              </w:rPr>
              <w:fldChar w:fldCharType="separate"/>
            </w:r>
            <w:r w:rsidR="00502FB2">
              <w:rPr>
                <w:noProof/>
                <w:webHidden/>
              </w:rPr>
              <w:t>18</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269" w:history="1">
            <w:r w:rsidR="00502FB2" w:rsidRPr="00A959E9">
              <w:rPr>
                <w:rStyle w:val="Hiperligao"/>
                <w:noProof/>
              </w:rPr>
              <w:t>1.1. CONTEXTO DEMOGRÁFICO</w:t>
            </w:r>
            <w:r w:rsidR="00502FB2">
              <w:rPr>
                <w:noProof/>
                <w:webHidden/>
              </w:rPr>
              <w:tab/>
            </w:r>
            <w:r w:rsidR="00502FB2">
              <w:rPr>
                <w:noProof/>
                <w:webHidden/>
              </w:rPr>
              <w:fldChar w:fldCharType="begin"/>
            </w:r>
            <w:r w:rsidR="00502FB2">
              <w:rPr>
                <w:noProof/>
                <w:webHidden/>
              </w:rPr>
              <w:instrText xml:space="preserve"> PAGEREF _Toc406667269 \h </w:instrText>
            </w:r>
            <w:r w:rsidR="00502FB2">
              <w:rPr>
                <w:noProof/>
                <w:webHidden/>
              </w:rPr>
            </w:r>
            <w:r w:rsidR="00502FB2">
              <w:rPr>
                <w:noProof/>
                <w:webHidden/>
              </w:rPr>
              <w:fldChar w:fldCharType="separate"/>
            </w:r>
            <w:r w:rsidR="00502FB2">
              <w:rPr>
                <w:noProof/>
                <w:webHidden/>
              </w:rPr>
              <w:t>18</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70" w:history="1">
            <w:r w:rsidR="00502FB2" w:rsidRPr="00A959E9">
              <w:rPr>
                <w:rStyle w:val="Hiperligao"/>
                <w:noProof/>
              </w:rPr>
              <w:t>1.1.1. Evolução demográfica</w:t>
            </w:r>
            <w:r w:rsidR="00502FB2">
              <w:rPr>
                <w:noProof/>
                <w:webHidden/>
              </w:rPr>
              <w:tab/>
            </w:r>
            <w:r w:rsidR="00502FB2">
              <w:rPr>
                <w:noProof/>
                <w:webHidden/>
              </w:rPr>
              <w:fldChar w:fldCharType="begin"/>
            </w:r>
            <w:r w:rsidR="00502FB2">
              <w:rPr>
                <w:noProof/>
                <w:webHidden/>
              </w:rPr>
              <w:instrText xml:space="preserve"> PAGEREF _Toc406667270 \h </w:instrText>
            </w:r>
            <w:r w:rsidR="00502FB2">
              <w:rPr>
                <w:noProof/>
                <w:webHidden/>
              </w:rPr>
            </w:r>
            <w:r w:rsidR="00502FB2">
              <w:rPr>
                <w:noProof/>
                <w:webHidden/>
              </w:rPr>
              <w:fldChar w:fldCharType="separate"/>
            </w:r>
            <w:r w:rsidR="00502FB2">
              <w:rPr>
                <w:noProof/>
                <w:webHidden/>
              </w:rPr>
              <w:t>18</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71" w:history="1">
            <w:r w:rsidR="00502FB2" w:rsidRPr="00A959E9">
              <w:rPr>
                <w:rStyle w:val="Hiperligao"/>
                <w:noProof/>
              </w:rPr>
              <w:t>1.1.2. Estrutura dos agregados familiares</w:t>
            </w:r>
            <w:r w:rsidR="00502FB2">
              <w:rPr>
                <w:noProof/>
                <w:webHidden/>
              </w:rPr>
              <w:tab/>
            </w:r>
            <w:r w:rsidR="00502FB2">
              <w:rPr>
                <w:noProof/>
                <w:webHidden/>
              </w:rPr>
              <w:fldChar w:fldCharType="begin"/>
            </w:r>
            <w:r w:rsidR="00502FB2">
              <w:rPr>
                <w:noProof/>
                <w:webHidden/>
              </w:rPr>
              <w:instrText xml:space="preserve"> PAGEREF _Toc406667271 \h </w:instrText>
            </w:r>
            <w:r w:rsidR="00502FB2">
              <w:rPr>
                <w:noProof/>
                <w:webHidden/>
              </w:rPr>
            </w:r>
            <w:r w:rsidR="00502FB2">
              <w:rPr>
                <w:noProof/>
                <w:webHidden/>
              </w:rPr>
              <w:fldChar w:fldCharType="separate"/>
            </w:r>
            <w:r w:rsidR="00502FB2">
              <w:rPr>
                <w:noProof/>
                <w:webHidden/>
              </w:rPr>
              <w:t>19</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72" w:history="1">
            <w:r w:rsidR="00502FB2" w:rsidRPr="00A959E9">
              <w:rPr>
                <w:rStyle w:val="Hiperligao"/>
                <w:noProof/>
              </w:rPr>
              <w:t>1.1.3. Situação dos agregados familiares</w:t>
            </w:r>
            <w:r w:rsidR="00502FB2">
              <w:rPr>
                <w:noProof/>
                <w:webHidden/>
              </w:rPr>
              <w:tab/>
            </w:r>
            <w:r w:rsidR="00502FB2">
              <w:rPr>
                <w:noProof/>
                <w:webHidden/>
              </w:rPr>
              <w:fldChar w:fldCharType="begin"/>
            </w:r>
            <w:r w:rsidR="00502FB2">
              <w:rPr>
                <w:noProof/>
                <w:webHidden/>
              </w:rPr>
              <w:instrText xml:space="preserve"> PAGEREF _Toc406667272 \h </w:instrText>
            </w:r>
            <w:r w:rsidR="00502FB2">
              <w:rPr>
                <w:noProof/>
                <w:webHidden/>
              </w:rPr>
            </w:r>
            <w:r w:rsidR="00502FB2">
              <w:rPr>
                <w:noProof/>
                <w:webHidden/>
              </w:rPr>
              <w:fldChar w:fldCharType="separate"/>
            </w:r>
            <w:r w:rsidR="00502FB2">
              <w:rPr>
                <w:noProof/>
                <w:webHidden/>
              </w:rPr>
              <w:t>21</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73" w:history="1">
            <w:r w:rsidR="00502FB2" w:rsidRPr="00A959E9">
              <w:rPr>
                <w:rStyle w:val="Hiperligao"/>
                <w:noProof/>
              </w:rPr>
              <w:t>Percentagem dos agregados familiares que:</w:t>
            </w:r>
            <w:r w:rsidR="00502FB2">
              <w:rPr>
                <w:noProof/>
                <w:webHidden/>
              </w:rPr>
              <w:tab/>
            </w:r>
            <w:r w:rsidR="00502FB2">
              <w:rPr>
                <w:noProof/>
                <w:webHidden/>
              </w:rPr>
              <w:fldChar w:fldCharType="begin"/>
            </w:r>
            <w:r w:rsidR="00502FB2">
              <w:rPr>
                <w:noProof/>
                <w:webHidden/>
              </w:rPr>
              <w:instrText xml:space="preserve"> PAGEREF _Toc406667273 \h </w:instrText>
            </w:r>
            <w:r w:rsidR="00502FB2">
              <w:rPr>
                <w:noProof/>
                <w:webHidden/>
              </w:rPr>
            </w:r>
            <w:r w:rsidR="00502FB2">
              <w:rPr>
                <w:noProof/>
                <w:webHidden/>
              </w:rPr>
              <w:fldChar w:fldCharType="separate"/>
            </w:r>
            <w:r w:rsidR="00502FB2">
              <w:rPr>
                <w:noProof/>
                <w:webHidden/>
              </w:rPr>
              <w:t>22</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74" w:history="1">
            <w:r w:rsidR="00502FB2" w:rsidRPr="00A959E9">
              <w:rPr>
                <w:rStyle w:val="Hiperligao"/>
                <w:rFonts w:cs="Arial"/>
                <w:noProof/>
              </w:rPr>
              <w:t>Tem acesso à rede pública (principal meio de abastecimento água)</w:t>
            </w:r>
            <w:r w:rsidR="00502FB2">
              <w:rPr>
                <w:noProof/>
                <w:webHidden/>
              </w:rPr>
              <w:tab/>
            </w:r>
            <w:r w:rsidR="00502FB2">
              <w:rPr>
                <w:noProof/>
                <w:webHidden/>
              </w:rPr>
              <w:fldChar w:fldCharType="begin"/>
            </w:r>
            <w:r w:rsidR="00502FB2">
              <w:rPr>
                <w:noProof/>
                <w:webHidden/>
              </w:rPr>
              <w:instrText xml:space="preserve"> PAGEREF _Toc406667274 \h </w:instrText>
            </w:r>
            <w:r w:rsidR="00502FB2">
              <w:rPr>
                <w:noProof/>
                <w:webHidden/>
              </w:rPr>
            </w:r>
            <w:r w:rsidR="00502FB2">
              <w:rPr>
                <w:noProof/>
                <w:webHidden/>
              </w:rPr>
              <w:fldChar w:fldCharType="separate"/>
            </w:r>
            <w:r w:rsidR="00502FB2">
              <w:rPr>
                <w:noProof/>
                <w:webHidden/>
              </w:rPr>
              <w:t>22</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75" w:history="1">
            <w:r w:rsidR="00502FB2" w:rsidRPr="00A959E9">
              <w:rPr>
                <w:rStyle w:val="Hiperligao"/>
                <w:rFonts w:cs="Arial"/>
                <w:noProof/>
              </w:rPr>
              <w:t>Tem casa de banho c/ sanita</w:t>
            </w:r>
            <w:r w:rsidR="00502FB2">
              <w:rPr>
                <w:noProof/>
                <w:webHidden/>
              </w:rPr>
              <w:tab/>
            </w:r>
            <w:r w:rsidR="00502FB2">
              <w:rPr>
                <w:noProof/>
                <w:webHidden/>
              </w:rPr>
              <w:fldChar w:fldCharType="begin"/>
            </w:r>
            <w:r w:rsidR="00502FB2">
              <w:rPr>
                <w:noProof/>
                <w:webHidden/>
              </w:rPr>
              <w:instrText xml:space="preserve"> PAGEREF _Toc406667275 \h </w:instrText>
            </w:r>
            <w:r w:rsidR="00502FB2">
              <w:rPr>
                <w:noProof/>
                <w:webHidden/>
              </w:rPr>
            </w:r>
            <w:r w:rsidR="00502FB2">
              <w:rPr>
                <w:noProof/>
                <w:webHidden/>
              </w:rPr>
              <w:fldChar w:fldCharType="separate"/>
            </w:r>
            <w:r w:rsidR="00502FB2">
              <w:rPr>
                <w:noProof/>
                <w:webHidden/>
              </w:rPr>
              <w:t>22</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76" w:history="1">
            <w:r w:rsidR="00502FB2" w:rsidRPr="00A959E9">
              <w:rPr>
                <w:rStyle w:val="Hiperligao"/>
                <w:rFonts w:cs="Arial"/>
                <w:noProof/>
              </w:rPr>
              <w:t>Sem sistema de evacuação de águas residuais</w:t>
            </w:r>
            <w:r w:rsidR="00502FB2">
              <w:rPr>
                <w:noProof/>
                <w:webHidden/>
              </w:rPr>
              <w:tab/>
            </w:r>
            <w:r w:rsidR="00502FB2">
              <w:rPr>
                <w:noProof/>
                <w:webHidden/>
              </w:rPr>
              <w:fldChar w:fldCharType="begin"/>
            </w:r>
            <w:r w:rsidR="00502FB2">
              <w:rPr>
                <w:noProof/>
                <w:webHidden/>
              </w:rPr>
              <w:instrText xml:space="preserve"> PAGEREF _Toc406667276 \h </w:instrText>
            </w:r>
            <w:r w:rsidR="00502FB2">
              <w:rPr>
                <w:noProof/>
                <w:webHidden/>
              </w:rPr>
            </w:r>
            <w:r w:rsidR="00502FB2">
              <w:rPr>
                <w:noProof/>
                <w:webHidden/>
              </w:rPr>
              <w:fldChar w:fldCharType="separate"/>
            </w:r>
            <w:r w:rsidR="00502FB2">
              <w:rPr>
                <w:noProof/>
                <w:webHidden/>
              </w:rPr>
              <w:t>22</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77" w:history="1">
            <w:r w:rsidR="00502FB2" w:rsidRPr="00A959E9">
              <w:rPr>
                <w:rStyle w:val="Hiperligao"/>
                <w:rFonts w:cs="Arial"/>
                <w:noProof/>
              </w:rPr>
              <w:t>Usa electricidade (principal forma de iluminação)</w:t>
            </w:r>
            <w:r w:rsidR="00502FB2">
              <w:rPr>
                <w:noProof/>
                <w:webHidden/>
              </w:rPr>
              <w:tab/>
            </w:r>
            <w:r w:rsidR="00502FB2">
              <w:rPr>
                <w:noProof/>
                <w:webHidden/>
              </w:rPr>
              <w:fldChar w:fldCharType="begin"/>
            </w:r>
            <w:r w:rsidR="00502FB2">
              <w:rPr>
                <w:noProof/>
                <w:webHidden/>
              </w:rPr>
              <w:instrText xml:space="preserve"> PAGEREF _Toc406667277 \h </w:instrText>
            </w:r>
            <w:r w:rsidR="00502FB2">
              <w:rPr>
                <w:noProof/>
                <w:webHidden/>
              </w:rPr>
            </w:r>
            <w:r w:rsidR="00502FB2">
              <w:rPr>
                <w:noProof/>
                <w:webHidden/>
              </w:rPr>
              <w:fldChar w:fldCharType="separate"/>
            </w:r>
            <w:r w:rsidR="00502FB2">
              <w:rPr>
                <w:noProof/>
                <w:webHidden/>
              </w:rPr>
              <w:t>22</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278" w:history="1">
            <w:r w:rsidR="00502FB2" w:rsidRPr="00A959E9">
              <w:rPr>
                <w:rStyle w:val="Hiperligao"/>
                <w:noProof/>
              </w:rPr>
              <w:t>1.2. CONTEXTO SOCIOECONÓMICO E CULTURAL</w:t>
            </w:r>
            <w:r w:rsidR="00502FB2">
              <w:rPr>
                <w:noProof/>
                <w:webHidden/>
              </w:rPr>
              <w:tab/>
            </w:r>
            <w:r w:rsidR="00502FB2">
              <w:rPr>
                <w:noProof/>
                <w:webHidden/>
              </w:rPr>
              <w:fldChar w:fldCharType="begin"/>
            </w:r>
            <w:r w:rsidR="00502FB2">
              <w:rPr>
                <w:noProof/>
                <w:webHidden/>
              </w:rPr>
              <w:instrText xml:space="preserve"> PAGEREF _Toc406667278 \h </w:instrText>
            </w:r>
            <w:r w:rsidR="00502FB2">
              <w:rPr>
                <w:noProof/>
                <w:webHidden/>
              </w:rPr>
            </w:r>
            <w:r w:rsidR="00502FB2">
              <w:rPr>
                <w:noProof/>
                <w:webHidden/>
              </w:rPr>
              <w:fldChar w:fldCharType="separate"/>
            </w:r>
            <w:r w:rsidR="00502FB2">
              <w:rPr>
                <w:noProof/>
                <w:webHidden/>
              </w:rPr>
              <w:t>23</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79" w:history="1">
            <w:r w:rsidR="00502FB2" w:rsidRPr="00A959E9">
              <w:rPr>
                <w:rStyle w:val="Hiperligao"/>
                <w:noProof/>
              </w:rPr>
              <w:t>1.2.1. Principais indicadores relacionados com a saúde</w:t>
            </w:r>
            <w:r w:rsidR="00502FB2">
              <w:rPr>
                <w:noProof/>
                <w:webHidden/>
              </w:rPr>
              <w:tab/>
            </w:r>
            <w:r w:rsidR="00502FB2">
              <w:rPr>
                <w:noProof/>
                <w:webHidden/>
              </w:rPr>
              <w:fldChar w:fldCharType="begin"/>
            </w:r>
            <w:r w:rsidR="00502FB2">
              <w:rPr>
                <w:noProof/>
                <w:webHidden/>
              </w:rPr>
              <w:instrText xml:space="preserve"> PAGEREF _Toc406667279 \h </w:instrText>
            </w:r>
            <w:r w:rsidR="00502FB2">
              <w:rPr>
                <w:noProof/>
                <w:webHidden/>
              </w:rPr>
            </w:r>
            <w:r w:rsidR="00502FB2">
              <w:rPr>
                <w:noProof/>
                <w:webHidden/>
              </w:rPr>
              <w:fldChar w:fldCharType="separate"/>
            </w:r>
            <w:r w:rsidR="00502FB2">
              <w:rPr>
                <w:noProof/>
                <w:webHidden/>
              </w:rPr>
              <w:t>23</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0" w:history="1">
            <w:r w:rsidR="00502FB2" w:rsidRPr="00A959E9">
              <w:rPr>
                <w:rStyle w:val="Hiperligao"/>
                <w:noProof/>
              </w:rPr>
              <w:t>1.2.2. Principais indicadores relacionados com os direitos sexuais e reprodutivos</w:t>
            </w:r>
            <w:r w:rsidR="00502FB2">
              <w:rPr>
                <w:noProof/>
                <w:webHidden/>
              </w:rPr>
              <w:tab/>
            </w:r>
            <w:r w:rsidR="00502FB2">
              <w:rPr>
                <w:noProof/>
                <w:webHidden/>
              </w:rPr>
              <w:fldChar w:fldCharType="begin"/>
            </w:r>
            <w:r w:rsidR="00502FB2">
              <w:rPr>
                <w:noProof/>
                <w:webHidden/>
              </w:rPr>
              <w:instrText xml:space="preserve"> PAGEREF _Toc406667280 \h </w:instrText>
            </w:r>
            <w:r w:rsidR="00502FB2">
              <w:rPr>
                <w:noProof/>
                <w:webHidden/>
              </w:rPr>
            </w:r>
            <w:r w:rsidR="00502FB2">
              <w:rPr>
                <w:noProof/>
                <w:webHidden/>
              </w:rPr>
              <w:fldChar w:fldCharType="separate"/>
            </w:r>
            <w:r w:rsidR="00502FB2">
              <w:rPr>
                <w:noProof/>
                <w:webHidden/>
              </w:rPr>
              <w:t>24</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1" w:history="1">
            <w:r w:rsidR="00502FB2" w:rsidRPr="00A959E9">
              <w:rPr>
                <w:rStyle w:val="Hiperligao"/>
                <w:noProof/>
              </w:rPr>
              <w:t>1.2.3. Principais indicadores relacionados com a violência baseada no género</w:t>
            </w:r>
            <w:r w:rsidR="00502FB2">
              <w:rPr>
                <w:noProof/>
                <w:webHidden/>
              </w:rPr>
              <w:tab/>
            </w:r>
            <w:r w:rsidR="00502FB2">
              <w:rPr>
                <w:noProof/>
                <w:webHidden/>
              </w:rPr>
              <w:fldChar w:fldCharType="begin"/>
            </w:r>
            <w:r w:rsidR="00502FB2">
              <w:rPr>
                <w:noProof/>
                <w:webHidden/>
              </w:rPr>
              <w:instrText xml:space="preserve"> PAGEREF _Toc406667281 \h </w:instrText>
            </w:r>
            <w:r w:rsidR="00502FB2">
              <w:rPr>
                <w:noProof/>
                <w:webHidden/>
              </w:rPr>
            </w:r>
            <w:r w:rsidR="00502FB2">
              <w:rPr>
                <w:noProof/>
                <w:webHidden/>
              </w:rPr>
              <w:fldChar w:fldCharType="separate"/>
            </w:r>
            <w:r w:rsidR="00502FB2">
              <w:rPr>
                <w:noProof/>
                <w:webHidden/>
              </w:rPr>
              <w:t>26</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2" w:history="1">
            <w:r w:rsidR="00502FB2" w:rsidRPr="00A959E9">
              <w:rPr>
                <w:rStyle w:val="Hiperligao"/>
                <w:noProof/>
              </w:rPr>
              <w:t>1.2.4. Principais indicadores relacionados com a educação e a formação profissional</w:t>
            </w:r>
            <w:r w:rsidR="00502FB2">
              <w:rPr>
                <w:noProof/>
                <w:webHidden/>
              </w:rPr>
              <w:tab/>
            </w:r>
            <w:r w:rsidR="00502FB2">
              <w:rPr>
                <w:noProof/>
                <w:webHidden/>
              </w:rPr>
              <w:fldChar w:fldCharType="begin"/>
            </w:r>
            <w:r w:rsidR="00502FB2">
              <w:rPr>
                <w:noProof/>
                <w:webHidden/>
              </w:rPr>
              <w:instrText xml:space="preserve"> PAGEREF _Toc406667282 \h </w:instrText>
            </w:r>
            <w:r w:rsidR="00502FB2">
              <w:rPr>
                <w:noProof/>
                <w:webHidden/>
              </w:rPr>
            </w:r>
            <w:r w:rsidR="00502FB2">
              <w:rPr>
                <w:noProof/>
                <w:webHidden/>
              </w:rPr>
              <w:fldChar w:fldCharType="separate"/>
            </w:r>
            <w:r w:rsidR="00502FB2">
              <w:rPr>
                <w:noProof/>
                <w:webHidden/>
              </w:rPr>
              <w:t>28</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3" w:history="1">
            <w:r w:rsidR="00502FB2" w:rsidRPr="00A959E9">
              <w:rPr>
                <w:rStyle w:val="Hiperligao"/>
                <w:noProof/>
              </w:rPr>
              <w:t>1.2.5. Situação perante a atividade productiva</w:t>
            </w:r>
            <w:r w:rsidR="00502FB2">
              <w:rPr>
                <w:noProof/>
                <w:webHidden/>
              </w:rPr>
              <w:tab/>
            </w:r>
            <w:r w:rsidR="00502FB2">
              <w:rPr>
                <w:noProof/>
                <w:webHidden/>
              </w:rPr>
              <w:fldChar w:fldCharType="begin"/>
            </w:r>
            <w:r w:rsidR="00502FB2">
              <w:rPr>
                <w:noProof/>
                <w:webHidden/>
              </w:rPr>
              <w:instrText xml:space="preserve"> PAGEREF _Toc406667283 \h </w:instrText>
            </w:r>
            <w:r w:rsidR="00502FB2">
              <w:rPr>
                <w:noProof/>
                <w:webHidden/>
              </w:rPr>
            </w:r>
            <w:r w:rsidR="00502FB2">
              <w:rPr>
                <w:noProof/>
                <w:webHidden/>
              </w:rPr>
              <w:fldChar w:fldCharType="separate"/>
            </w:r>
            <w:r w:rsidR="00502FB2">
              <w:rPr>
                <w:noProof/>
                <w:webHidden/>
              </w:rPr>
              <w:t>34</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4" w:history="1">
            <w:r w:rsidR="00502FB2" w:rsidRPr="00A959E9">
              <w:rPr>
                <w:rStyle w:val="Hiperligao"/>
                <w:noProof/>
              </w:rPr>
              <w:t>1.2.6. Contribuições desde a economia reprodutiva</w:t>
            </w:r>
            <w:r w:rsidR="00502FB2">
              <w:rPr>
                <w:noProof/>
                <w:webHidden/>
              </w:rPr>
              <w:tab/>
            </w:r>
            <w:r w:rsidR="00502FB2">
              <w:rPr>
                <w:noProof/>
                <w:webHidden/>
              </w:rPr>
              <w:fldChar w:fldCharType="begin"/>
            </w:r>
            <w:r w:rsidR="00502FB2">
              <w:rPr>
                <w:noProof/>
                <w:webHidden/>
              </w:rPr>
              <w:instrText xml:space="preserve"> PAGEREF _Toc406667284 \h </w:instrText>
            </w:r>
            <w:r w:rsidR="00502FB2">
              <w:rPr>
                <w:noProof/>
                <w:webHidden/>
              </w:rPr>
            </w:r>
            <w:r w:rsidR="00502FB2">
              <w:rPr>
                <w:noProof/>
                <w:webHidden/>
              </w:rPr>
              <w:fldChar w:fldCharType="separate"/>
            </w:r>
            <w:r w:rsidR="00502FB2">
              <w:rPr>
                <w:noProof/>
                <w:webHidden/>
              </w:rPr>
              <w:t>37</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5" w:history="1">
            <w:r w:rsidR="00502FB2" w:rsidRPr="00A959E9">
              <w:rPr>
                <w:rStyle w:val="Hiperligao"/>
                <w:noProof/>
              </w:rPr>
              <w:t>1.2.7. Principais indicadores relacionados com a participação política e nas esferas de tomada de decisão.</w:t>
            </w:r>
            <w:r w:rsidR="00502FB2">
              <w:rPr>
                <w:noProof/>
                <w:webHidden/>
              </w:rPr>
              <w:tab/>
            </w:r>
            <w:r w:rsidR="00502FB2">
              <w:rPr>
                <w:noProof/>
                <w:webHidden/>
              </w:rPr>
              <w:fldChar w:fldCharType="begin"/>
            </w:r>
            <w:r w:rsidR="00502FB2">
              <w:rPr>
                <w:noProof/>
                <w:webHidden/>
              </w:rPr>
              <w:instrText xml:space="preserve"> PAGEREF _Toc406667285 \h </w:instrText>
            </w:r>
            <w:r w:rsidR="00502FB2">
              <w:rPr>
                <w:noProof/>
                <w:webHidden/>
              </w:rPr>
            </w:r>
            <w:r w:rsidR="00502FB2">
              <w:rPr>
                <w:noProof/>
                <w:webHidden/>
              </w:rPr>
              <w:fldChar w:fldCharType="separate"/>
            </w:r>
            <w:r w:rsidR="00502FB2">
              <w:rPr>
                <w:noProof/>
                <w:webHidden/>
              </w:rPr>
              <w:t>40</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86" w:history="1">
            <w:r w:rsidR="00502FB2" w:rsidRPr="00A959E9">
              <w:rPr>
                <w:rStyle w:val="Hiperligao"/>
                <w:noProof/>
              </w:rPr>
              <w:t>2. GRAU DE PRIORIZAÇÃO DE GÉNERO NA PROGRAMAÇÃO ESTRATÉGICA NACIONAL</w:t>
            </w:r>
            <w:r w:rsidR="00502FB2">
              <w:rPr>
                <w:noProof/>
                <w:webHidden/>
              </w:rPr>
              <w:tab/>
            </w:r>
            <w:r w:rsidR="00502FB2">
              <w:rPr>
                <w:noProof/>
                <w:webHidden/>
              </w:rPr>
              <w:fldChar w:fldCharType="begin"/>
            </w:r>
            <w:r w:rsidR="00502FB2">
              <w:rPr>
                <w:noProof/>
                <w:webHidden/>
              </w:rPr>
              <w:instrText xml:space="preserve"> PAGEREF _Toc406667286 \h </w:instrText>
            </w:r>
            <w:r w:rsidR="00502FB2">
              <w:rPr>
                <w:noProof/>
                <w:webHidden/>
              </w:rPr>
            </w:r>
            <w:r w:rsidR="00502FB2">
              <w:rPr>
                <w:noProof/>
                <w:webHidden/>
              </w:rPr>
              <w:fldChar w:fldCharType="separate"/>
            </w:r>
            <w:r w:rsidR="00502FB2">
              <w:rPr>
                <w:noProof/>
                <w:webHidden/>
              </w:rPr>
              <w:t>41</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287" w:history="1">
            <w:r w:rsidR="00502FB2" w:rsidRPr="00A959E9">
              <w:rPr>
                <w:rStyle w:val="Hiperligao"/>
                <w:noProof/>
              </w:rPr>
              <w:t>2.1. O QUADRO JURÍDICO-LEGAL NACIONAL E INTERNACIONAL RELATIVO À IGUALDADE DE GÉNERO</w:t>
            </w:r>
            <w:r w:rsidR="00502FB2">
              <w:rPr>
                <w:noProof/>
                <w:webHidden/>
              </w:rPr>
              <w:tab/>
            </w:r>
            <w:r w:rsidR="00502FB2">
              <w:rPr>
                <w:noProof/>
                <w:webHidden/>
              </w:rPr>
              <w:fldChar w:fldCharType="begin"/>
            </w:r>
            <w:r w:rsidR="00502FB2">
              <w:rPr>
                <w:noProof/>
                <w:webHidden/>
              </w:rPr>
              <w:instrText xml:space="preserve"> PAGEREF _Toc406667287 \h </w:instrText>
            </w:r>
            <w:r w:rsidR="00502FB2">
              <w:rPr>
                <w:noProof/>
                <w:webHidden/>
              </w:rPr>
            </w:r>
            <w:r w:rsidR="00502FB2">
              <w:rPr>
                <w:noProof/>
                <w:webHidden/>
              </w:rPr>
              <w:fldChar w:fldCharType="separate"/>
            </w:r>
            <w:r w:rsidR="00502FB2">
              <w:rPr>
                <w:noProof/>
                <w:webHidden/>
              </w:rPr>
              <w:t>41</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8" w:history="1">
            <w:r w:rsidR="00502FB2" w:rsidRPr="00A959E9">
              <w:rPr>
                <w:rStyle w:val="Hiperligao"/>
                <w:noProof/>
              </w:rPr>
              <w:t>2.1.1. As recomendações a nível mundial e regional</w:t>
            </w:r>
            <w:r w:rsidR="00502FB2">
              <w:rPr>
                <w:noProof/>
                <w:webHidden/>
              </w:rPr>
              <w:tab/>
            </w:r>
            <w:r w:rsidR="00502FB2">
              <w:rPr>
                <w:noProof/>
                <w:webHidden/>
              </w:rPr>
              <w:fldChar w:fldCharType="begin"/>
            </w:r>
            <w:r w:rsidR="00502FB2">
              <w:rPr>
                <w:noProof/>
                <w:webHidden/>
              </w:rPr>
              <w:instrText xml:space="preserve"> PAGEREF _Toc406667288 \h </w:instrText>
            </w:r>
            <w:r w:rsidR="00502FB2">
              <w:rPr>
                <w:noProof/>
                <w:webHidden/>
              </w:rPr>
            </w:r>
            <w:r w:rsidR="00502FB2">
              <w:rPr>
                <w:noProof/>
                <w:webHidden/>
              </w:rPr>
              <w:fldChar w:fldCharType="separate"/>
            </w:r>
            <w:r w:rsidR="00502FB2">
              <w:rPr>
                <w:noProof/>
                <w:webHidden/>
              </w:rPr>
              <w:t>41</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89" w:history="1">
            <w:r w:rsidR="00502FB2" w:rsidRPr="00A959E9">
              <w:rPr>
                <w:rStyle w:val="Hiperligao"/>
                <w:noProof/>
              </w:rPr>
              <w:t>2.1.2. Compromissos nacionais com a igualdade de género</w:t>
            </w:r>
            <w:r w:rsidR="00502FB2">
              <w:rPr>
                <w:noProof/>
                <w:webHidden/>
              </w:rPr>
              <w:tab/>
            </w:r>
            <w:r w:rsidR="00502FB2">
              <w:rPr>
                <w:noProof/>
                <w:webHidden/>
              </w:rPr>
              <w:fldChar w:fldCharType="begin"/>
            </w:r>
            <w:r w:rsidR="00502FB2">
              <w:rPr>
                <w:noProof/>
                <w:webHidden/>
              </w:rPr>
              <w:instrText xml:space="preserve"> PAGEREF _Toc406667289 \h </w:instrText>
            </w:r>
            <w:r w:rsidR="00502FB2">
              <w:rPr>
                <w:noProof/>
                <w:webHidden/>
              </w:rPr>
            </w:r>
            <w:r w:rsidR="00502FB2">
              <w:rPr>
                <w:noProof/>
                <w:webHidden/>
              </w:rPr>
              <w:fldChar w:fldCharType="separate"/>
            </w:r>
            <w:r w:rsidR="00502FB2">
              <w:rPr>
                <w:noProof/>
                <w:webHidden/>
              </w:rPr>
              <w:t>42</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290" w:history="1">
            <w:r w:rsidR="00502FB2" w:rsidRPr="00A959E9">
              <w:rPr>
                <w:rStyle w:val="Hiperligao"/>
                <w:noProof/>
              </w:rPr>
              <w:t>2.2 QUADRO INSTITUCIONAL E POLÍTICO PARA A IGUALDADE DE GÉNERO EM CABO VERDE</w:t>
            </w:r>
            <w:r w:rsidR="00502FB2">
              <w:rPr>
                <w:noProof/>
                <w:webHidden/>
              </w:rPr>
              <w:tab/>
            </w:r>
            <w:r w:rsidR="00502FB2">
              <w:rPr>
                <w:noProof/>
                <w:webHidden/>
              </w:rPr>
              <w:fldChar w:fldCharType="begin"/>
            </w:r>
            <w:r w:rsidR="00502FB2">
              <w:rPr>
                <w:noProof/>
                <w:webHidden/>
              </w:rPr>
              <w:instrText xml:space="preserve"> PAGEREF _Toc406667290 \h </w:instrText>
            </w:r>
            <w:r w:rsidR="00502FB2">
              <w:rPr>
                <w:noProof/>
                <w:webHidden/>
              </w:rPr>
            </w:r>
            <w:r w:rsidR="00502FB2">
              <w:rPr>
                <w:noProof/>
                <w:webHidden/>
              </w:rPr>
              <w:fldChar w:fldCharType="separate"/>
            </w:r>
            <w:r w:rsidR="00502FB2">
              <w:rPr>
                <w:noProof/>
                <w:webHidden/>
              </w:rPr>
              <w:t>45</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91" w:history="1">
            <w:r w:rsidR="00502FB2" w:rsidRPr="00A959E9">
              <w:rPr>
                <w:rStyle w:val="Hiperligao"/>
                <w:noProof/>
              </w:rPr>
              <w:t>2.2.1. Grau de priorização da agenda de género na programação estratégica nacional</w:t>
            </w:r>
            <w:r w:rsidR="00502FB2">
              <w:rPr>
                <w:noProof/>
                <w:webHidden/>
              </w:rPr>
              <w:tab/>
            </w:r>
            <w:r w:rsidR="00502FB2">
              <w:rPr>
                <w:noProof/>
                <w:webHidden/>
              </w:rPr>
              <w:fldChar w:fldCharType="begin"/>
            </w:r>
            <w:r w:rsidR="00502FB2">
              <w:rPr>
                <w:noProof/>
                <w:webHidden/>
              </w:rPr>
              <w:instrText xml:space="preserve"> PAGEREF _Toc406667291 \h </w:instrText>
            </w:r>
            <w:r w:rsidR="00502FB2">
              <w:rPr>
                <w:noProof/>
                <w:webHidden/>
              </w:rPr>
            </w:r>
            <w:r w:rsidR="00502FB2">
              <w:rPr>
                <w:noProof/>
                <w:webHidden/>
              </w:rPr>
              <w:fldChar w:fldCharType="separate"/>
            </w:r>
            <w:r w:rsidR="00502FB2">
              <w:rPr>
                <w:noProof/>
                <w:webHidden/>
              </w:rPr>
              <w:t>45</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92" w:history="1">
            <w:r w:rsidR="00502FB2" w:rsidRPr="00A959E9">
              <w:rPr>
                <w:rStyle w:val="Hiperligao"/>
                <w:noProof/>
              </w:rPr>
              <w:t>2.2.2. Instituições e mecanismos institucionais para a igualdade de género</w:t>
            </w:r>
            <w:r w:rsidR="00502FB2">
              <w:rPr>
                <w:noProof/>
                <w:webHidden/>
              </w:rPr>
              <w:tab/>
            </w:r>
            <w:r w:rsidR="00502FB2">
              <w:rPr>
                <w:noProof/>
                <w:webHidden/>
              </w:rPr>
              <w:fldChar w:fldCharType="begin"/>
            </w:r>
            <w:r w:rsidR="00502FB2">
              <w:rPr>
                <w:noProof/>
                <w:webHidden/>
              </w:rPr>
              <w:instrText xml:space="preserve"> PAGEREF _Toc406667292 \h </w:instrText>
            </w:r>
            <w:r w:rsidR="00502FB2">
              <w:rPr>
                <w:noProof/>
                <w:webHidden/>
              </w:rPr>
            </w:r>
            <w:r w:rsidR="00502FB2">
              <w:rPr>
                <w:noProof/>
                <w:webHidden/>
              </w:rPr>
              <w:fldChar w:fldCharType="separate"/>
            </w:r>
            <w:r w:rsidR="00502FB2">
              <w:rPr>
                <w:noProof/>
                <w:webHidden/>
              </w:rPr>
              <w:t>46</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93" w:history="1">
            <w:r w:rsidR="00502FB2" w:rsidRPr="00A959E9">
              <w:rPr>
                <w:rStyle w:val="Hiperligao"/>
                <w:noProof/>
              </w:rPr>
              <w:t>2.2.3 Programas e políticas específicas para a igualdade de género</w:t>
            </w:r>
            <w:r w:rsidR="00502FB2">
              <w:rPr>
                <w:noProof/>
                <w:webHidden/>
              </w:rPr>
              <w:tab/>
            </w:r>
            <w:r w:rsidR="00502FB2">
              <w:rPr>
                <w:noProof/>
                <w:webHidden/>
              </w:rPr>
              <w:fldChar w:fldCharType="begin"/>
            </w:r>
            <w:r w:rsidR="00502FB2">
              <w:rPr>
                <w:noProof/>
                <w:webHidden/>
              </w:rPr>
              <w:instrText xml:space="preserve"> PAGEREF _Toc406667293 \h </w:instrText>
            </w:r>
            <w:r w:rsidR="00502FB2">
              <w:rPr>
                <w:noProof/>
                <w:webHidden/>
              </w:rPr>
            </w:r>
            <w:r w:rsidR="00502FB2">
              <w:rPr>
                <w:noProof/>
                <w:webHidden/>
              </w:rPr>
              <w:fldChar w:fldCharType="separate"/>
            </w:r>
            <w:r w:rsidR="00502FB2">
              <w:rPr>
                <w:noProof/>
                <w:webHidden/>
              </w:rPr>
              <w:t>50</w:t>
            </w:r>
            <w:r w:rsidR="00502FB2">
              <w:rPr>
                <w:noProof/>
                <w:webHidden/>
              </w:rPr>
              <w:fldChar w:fldCharType="end"/>
            </w:r>
          </w:hyperlink>
        </w:p>
        <w:p w:rsidR="00502FB2" w:rsidRDefault="001E6F8E">
          <w:pPr>
            <w:pStyle w:val="ndice3"/>
            <w:tabs>
              <w:tab w:val="right" w:leader="dot" w:pos="8494"/>
            </w:tabs>
            <w:rPr>
              <w:noProof/>
              <w:lang w:val="es-ES" w:eastAsia="es-ES"/>
            </w:rPr>
          </w:pPr>
          <w:hyperlink w:anchor="_Toc406667294" w:history="1">
            <w:r w:rsidR="00502FB2" w:rsidRPr="00A959E9">
              <w:rPr>
                <w:rStyle w:val="Hiperligao"/>
                <w:noProof/>
              </w:rPr>
              <w:t>2.2.4. A igualdade de género nas políticas sectoriais</w:t>
            </w:r>
            <w:r w:rsidR="00502FB2">
              <w:rPr>
                <w:noProof/>
                <w:webHidden/>
              </w:rPr>
              <w:tab/>
            </w:r>
            <w:r w:rsidR="00502FB2">
              <w:rPr>
                <w:noProof/>
                <w:webHidden/>
              </w:rPr>
              <w:fldChar w:fldCharType="begin"/>
            </w:r>
            <w:r w:rsidR="00502FB2">
              <w:rPr>
                <w:noProof/>
                <w:webHidden/>
              </w:rPr>
              <w:instrText xml:space="preserve"> PAGEREF _Toc406667294 \h </w:instrText>
            </w:r>
            <w:r w:rsidR="00502FB2">
              <w:rPr>
                <w:noProof/>
                <w:webHidden/>
              </w:rPr>
            </w:r>
            <w:r w:rsidR="00502FB2">
              <w:rPr>
                <w:noProof/>
                <w:webHidden/>
              </w:rPr>
              <w:fldChar w:fldCharType="separate"/>
            </w:r>
            <w:r w:rsidR="00502FB2">
              <w:rPr>
                <w:noProof/>
                <w:webHidden/>
              </w:rPr>
              <w:t>52</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95" w:history="1">
            <w:r w:rsidR="00502FB2" w:rsidRPr="00A959E9">
              <w:rPr>
                <w:rStyle w:val="Hiperligao"/>
                <w:noProof/>
              </w:rPr>
              <w:t>3. DESAFIOS E PROBLEMAS CENTRAIS PARA A IGUALDADE DE GÉNERO EM CABO VERDE.</w:t>
            </w:r>
            <w:r w:rsidR="00502FB2">
              <w:rPr>
                <w:noProof/>
                <w:webHidden/>
              </w:rPr>
              <w:tab/>
            </w:r>
            <w:r w:rsidR="00502FB2">
              <w:rPr>
                <w:noProof/>
                <w:webHidden/>
              </w:rPr>
              <w:fldChar w:fldCharType="begin"/>
            </w:r>
            <w:r w:rsidR="00502FB2">
              <w:rPr>
                <w:noProof/>
                <w:webHidden/>
              </w:rPr>
              <w:instrText xml:space="preserve"> PAGEREF _Toc406667295 \h </w:instrText>
            </w:r>
            <w:r w:rsidR="00502FB2">
              <w:rPr>
                <w:noProof/>
                <w:webHidden/>
              </w:rPr>
            </w:r>
            <w:r w:rsidR="00502FB2">
              <w:rPr>
                <w:noProof/>
                <w:webHidden/>
              </w:rPr>
              <w:fldChar w:fldCharType="separate"/>
            </w:r>
            <w:r w:rsidR="00502FB2">
              <w:rPr>
                <w:noProof/>
                <w:webHidden/>
              </w:rPr>
              <w:t>58</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96" w:history="1">
            <w:r w:rsidR="00502FB2" w:rsidRPr="00A959E9">
              <w:rPr>
                <w:rStyle w:val="Hiperligao"/>
                <w:noProof/>
              </w:rPr>
              <w:t>PARTE III: PLANO NACIONAL DE IGUALDADE DE GÉNERO, PNIG 2015-2018</w:t>
            </w:r>
            <w:r w:rsidR="00502FB2">
              <w:rPr>
                <w:noProof/>
                <w:webHidden/>
              </w:rPr>
              <w:tab/>
            </w:r>
            <w:r w:rsidR="00502FB2">
              <w:rPr>
                <w:noProof/>
                <w:webHidden/>
              </w:rPr>
              <w:fldChar w:fldCharType="begin"/>
            </w:r>
            <w:r w:rsidR="00502FB2">
              <w:rPr>
                <w:noProof/>
                <w:webHidden/>
              </w:rPr>
              <w:instrText xml:space="preserve"> PAGEREF _Toc406667296 \h </w:instrText>
            </w:r>
            <w:r w:rsidR="00502FB2">
              <w:rPr>
                <w:noProof/>
                <w:webHidden/>
              </w:rPr>
            </w:r>
            <w:r w:rsidR="00502FB2">
              <w:rPr>
                <w:noProof/>
                <w:webHidden/>
              </w:rPr>
              <w:fldChar w:fldCharType="separate"/>
            </w:r>
            <w:r w:rsidR="00502FB2">
              <w:rPr>
                <w:noProof/>
                <w:webHidden/>
              </w:rPr>
              <w:t>65</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97" w:history="1">
            <w:r w:rsidR="00502FB2" w:rsidRPr="00A959E9">
              <w:rPr>
                <w:rStyle w:val="Hiperligao"/>
                <w:noProof/>
              </w:rPr>
              <w:t>1. VISÃO, OBJECTIVOS E PRINCÍPIOS DE ATUAÇÃO</w:t>
            </w:r>
            <w:r w:rsidR="00502FB2">
              <w:rPr>
                <w:noProof/>
                <w:webHidden/>
              </w:rPr>
              <w:tab/>
            </w:r>
            <w:r w:rsidR="00502FB2">
              <w:rPr>
                <w:noProof/>
                <w:webHidden/>
              </w:rPr>
              <w:fldChar w:fldCharType="begin"/>
            </w:r>
            <w:r w:rsidR="00502FB2">
              <w:rPr>
                <w:noProof/>
                <w:webHidden/>
              </w:rPr>
              <w:instrText xml:space="preserve"> PAGEREF _Toc406667297 \h </w:instrText>
            </w:r>
            <w:r w:rsidR="00502FB2">
              <w:rPr>
                <w:noProof/>
                <w:webHidden/>
              </w:rPr>
            </w:r>
            <w:r w:rsidR="00502FB2">
              <w:rPr>
                <w:noProof/>
                <w:webHidden/>
              </w:rPr>
              <w:fldChar w:fldCharType="separate"/>
            </w:r>
            <w:r w:rsidR="00502FB2">
              <w:rPr>
                <w:noProof/>
                <w:webHidden/>
              </w:rPr>
              <w:t>66</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298" w:history="1">
            <w:r w:rsidR="00502FB2" w:rsidRPr="00A959E9">
              <w:rPr>
                <w:rStyle w:val="Hiperligao"/>
                <w:noProof/>
              </w:rPr>
              <w:t>2. RESULTADOS E MEDIDAS ESTRATÉGICAS</w:t>
            </w:r>
            <w:r w:rsidR="00502FB2">
              <w:rPr>
                <w:noProof/>
                <w:webHidden/>
              </w:rPr>
              <w:tab/>
            </w:r>
            <w:r w:rsidR="00502FB2">
              <w:rPr>
                <w:noProof/>
                <w:webHidden/>
              </w:rPr>
              <w:fldChar w:fldCharType="begin"/>
            </w:r>
            <w:r w:rsidR="00502FB2">
              <w:rPr>
                <w:noProof/>
                <w:webHidden/>
              </w:rPr>
              <w:instrText xml:space="preserve"> PAGEREF _Toc406667298 \h </w:instrText>
            </w:r>
            <w:r w:rsidR="00502FB2">
              <w:rPr>
                <w:noProof/>
                <w:webHidden/>
              </w:rPr>
            </w:r>
            <w:r w:rsidR="00502FB2">
              <w:rPr>
                <w:noProof/>
                <w:webHidden/>
              </w:rPr>
              <w:fldChar w:fldCharType="separate"/>
            </w:r>
            <w:r w:rsidR="00502FB2">
              <w:rPr>
                <w:noProof/>
                <w:webHidden/>
              </w:rPr>
              <w:t>68</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299" w:history="1">
            <w:r w:rsidR="00502FB2" w:rsidRPr="00A959E9">
              <w:rPr>
                <w:rStyle w:val="Hiperligao"/>
                <w:noProof/>
              </w:rPr>
              <w:t>2.1.</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SAÚDE.</w:t>
            </w:r>
            <w:r w:rsidR="00502FB2">
              <w:rPr>
                <w:noProof/>
                <w:webHidden/>
              </w:rPr>
              <w:tab/>
            </w:r>
            <w:r w:rsidR="00502FB2">
              <w:rPr>
                <w:noProof/>
                <w:webHidden/>
              </w:rPr>
              <w:fldChar w:fldCharType="begin"/>
            </w:r>
            <w:r w:rsidR="00502FB2">
              <w:rPr>
                <w:noProof/>
                <w:webHidden/>
              </w:rPr>
              <w:instrText xml:space="preserve"> PAGEREF _Toc406667299 \h </w:instrText>
            </w:r>
            <w:r w:rsidR="00502FB2">
              <w:rPr>
                <w:noProof/>
                <w:webHidden/>
              </w:rPr>
            </w:r>
            <w:r w:rsidR="00502FB2">
              <w:rPr>
                <w:noProof/>
                <w:webHidden/>
              </w:rPr>
              <w:fldChar w:fldCharType="separate"/>
            </w:r>
            <w:r w:rsidR="00502FB2">
              <w:rPr>
                <w:noProof/>
                <w:webHidden/>
              </w:rPr>
              <w:t>68</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300" w:history="1">
            <w:r w:rsidR="00502FB2" w:rsidRPr="00A959E9">
              <w:rPr>
                <w:rStyle w:val="Hiperligao"/>
                <w:noProof/>
              </w:rPr>
              <w:t>2.2.</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DIREITOS SEXUAIS E REPRODUTIVOS.</w:t>
            </w:r>
            <w:r w:rsidR="00502FB2">
              <w:rPr>
                <w:noProof/>
                <w:webHidden/>
              </w:rPr>
              <w:tab/>
            </w:r>
            <w:r w:rsidR="00502FB2">
              <w:rPr>
                <w:noProof/>
                <w:webHidden/>
              </w:rPr>
              <w:fldChar w:fldCharType="begin"/>
            </w:r>
            <w:r w:rsidR="00502FB2">
              <w:rPr>
                <w:noProof/>
                <w:webHidden/>
              </w:rPr>
              <w:instrText xml:space="preserve"> PAGEREF _Toc406667300 \h </w:instrText>
            </w:r>
            <w:r w:rsidR="00502FB2">
              <w:rPr>
                <w:noProof/>
                <w:webHidden/>
              </w:rPr>
            </w:r>
            <w:r w:rsidR="00502FB2">
              <w:rPr>
                <w:noProof/>
                <w:webHidden/>
              </w:rPr>
              <w:fldChar w:fldCharType="separate"/>
            </w:r>
            <w:r w:rsidR="00502FB2">
              <w:rPr>
                <w:noProof/>
                <w:webHidden/>
              </w:rPr>
              <w:t>69</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301" w:history="1">
            <w:r w:rsidR="00502FB2" w:rsidRPr="00A959E9">
              <w:rPr>
                <w:rStyle w:val="Hiperligao"/>
                <w:noProof/>
              </w:rPr>
              <w:t>2.3.</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EDUCAÇÃO E FORMAÇÃO PROFISSIONAL.</w:t>
            </w:r>
            <w:r w:rsidR="00502FB2">
              <w:rPr>
                <w:noProof/>
                <w:webHidden/>
              </w:rPr>
              <w:tab/>
            </w:r>
            <w:r w:rsidR="00502FB2">
              <w:rPr>
                <w:noProof/>
                <w:webHidden/>
              </w:rPr>
              <w:fldChar w:fldCharType="begin"/>
            </w:r>
            <w:r w:rsidR="00502FB2">
              <w:rPr>
                <w:noProof/>
                <w:webHidden/>
              </w:rPr>
              <w:instrText xml:space="preserve"> PAGEREF _Toc406667301 \h </w:instrText>
            </w:r>
            <w:r w:rsidR="00502FB2">
              <w:rPr>
                <w:noProof/>
                <w:webHidden/>
              </w:rPr>
            </w:r>
            <w:r w:rsidR="00502FB2">
              <w:rPr>
                <w:noProof/>
                <w:webHidden/>
              </w:rPr>
              <w:fldChar w:fldCharType="separate"/>
            </w:r>
            <w:r w:rsidR="00502FB2">
              <w:rPr>
                <w:noProof/>
                <w:webHidden/>
              </w:rPr>
              <w:t>70</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302" w:history="1">
            <w:r w:rsidR="00502FB2" w:rsidRPr="00A959E9">
              <w:rPr>
                <w:rStyle w:val="Hiperligao"/>
                <w:noProof/>
              </w:rPr>
              <w:t>2.4.</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ECONOMIA PRODUTIVA.</w:t>
            </w:r>
            <w:r w:rsidR="00502FB2">
              <w:rPr>
                <w:noProof/>
                <w:webHidden/>
              </w:rPr>
              <w:tab/>
            </w:r>
            <w:r w:rsidR="00502FB2">
              <w:rPr>
                <w:noProof/>
                <w:webHidden/>
              </w:rPr>
              <w:fldChar w:fldCharType="begin"/>
            </w:r>
            <w:r w:rsidR="00502FB2">
              <w:rPr>
                <w:noProof/>
                <w:webHidden/>
              </w:rPr>
              <w:instrText xml:space="preserve"> PAGEREF _Toc406667302 \h </w:instrText>
            </w:r>
            <w:r w:rsidR="00502FB2">
              <w:rPr>
                <w:noProof/>
                <w:webHidden/>
              </w:rPr>
            </w:r>
            <w:r w:rsidR="00502FB2">
              <w:rPr>
                <w:noProof/>
                <w:webHidden/>
              </w:rPr>
              <w:fldChar w:fldCharType="separate"/>
            </w:r>
            <w:r w:rsidR="00502FB2">
              <w:rPr>
                <w:noProof/>
                <w:webHidden/>
              </w:rPr>
              <w:t>71</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303" w:history="1">
            <w:r w:rsidR="00502FB2" w:rsidRPr="00A959E9">
              <w:rPr>
                <w:rStyle w:val="Hiperligao"/>
                <w:noProof/>
              </w:rPr>
              <w:t>2.5.</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ECONOMIA REPRODUTIVA.</w:t>
            </w:r>
            <w:r w:rsidR="00502FB2">
              <w:rPr>
                <w:noProof/>
                <w:webHidden/>
              </w:rPr>
              <w:tab/>
            </w:r>
            <w:r w:rsidR="00502FB2">
              <w:rPr>
                <w:noProof/>
                <w:webHidden/>
              </w:rPr>
              <w:fldChar w:fldCharType="begin"/>
            </w:r>
            <w:r w:rsidR="00502FB2">
              <w:rPr>
                <w:noProof/>
                <w:webHidden/>
              </w:rPr>
              <w:instrText xml:space="preserve"> PAGEREF _Toc406667303 \h </w:instrText>
            </w:r>
            <w:r w:rsidR="00502FB2">
              <w:rPr>
                <w:noProof/>
                <w:webHidden/>
              </w:rPr>
            </w:r>
            <w:r w:rsidR="00502FB2">
              <w:rPr>
                <w:noProof/>
                <w:webHidden/>
              </w:rPr>
              <w:fldChar w:fldCharType="separate"/>
            </w:r>
            <w:r w:rsidR="00502FB2">
              <w:rPr>
                <w:noProof/>
                <w:webHidden/>
              </w:rPr>
              <w:t>73</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304" w:history="1">
            <w:r w:rsidR="00502FB2" w:rsidRPr="00A959E9">
              <w:rPr>
                <w:rStyle w:val="Hiperligao"/>
                <w:noProof/>
              </w:rPr>
              <w:t>2.6.</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PARTICIPAÇÃO POLÍTICA E NAS ESFERAS DE TOMADA DE DECISÃO E COMUNICAÇÃO.</w:t>
            </w:r>
            <w:r w:rsidR="00502FB2">
              <w:rPr>
                <w:noProof/>
                <w:webHidden/>
              </w:rPr>
              <w:tab/>
            </w:r>
            <w:r w:rsidR="00502FB2">
              <w:rPr>
                <w:noProof/>
                <w:webHidden/>
              </w:rPr>
              <w:fldChar w:fldCharType="begin"/>
            </w:r>
            <w:r w:rsidR="00502FB2">
              <w:rPr>
                <w:noProof/>
                <w:webHidden/>
              </w:rPr>
              <w:instrText xml:space="preserve"> PAGEREF _Toc406667304 \h </w:instrText>
            </w:r>
            <w:r w:rsidR="00502FB2">
              <w:rPr>
                <w:noProof/>
                <w:webHidden/>
              </w:rPr>
            </w:r>
            <w:r w:rsidR="00502FB2">
              <w:rPr>
                <w:noProof/>
                <w:webHidden/>
              </w:rPr>
              <w:fldChar w:fldCharType="separate"/>
            </w:r>
            <w:r w:rsidR="00502FB2">
              <w:rPr>
                <w:noProof/>
                <w:webHidden/>
              </w:rPr>
              <w:t>74</w:t>
            </w:r>
            <w:r w:rsidR="00502FB2">
              <w:rPr>
                <w:noProof/>
                <w:webHidden/>
              </w:rPr>
              <w:fldChar w:fldCharType="end"/>
            </w:r>
          </w:hyperlink>
        </w:p>
        <w:p w:rsidR="00502FB2" w:rsidRDefault="001E6F8E">
          <w:pPr>
            <w:pStyle w:val="ndice2"/>
            <w:tabs>
              <w:tab w:val="left" w:pos="880"/>
              <w:tab w:val="right" w:leader="dot" w:pos="8494"/>
            </w:tabs>
            <w:rPr>
              <w:noProof/>
              <w:lang w:val="es-ES" w:eastAsia="es-ES"/>
            </w:rPr>
          </w:pPr>
          <w:hyperlink w:anchor="_Toc406667305" w:history="1">
            <w:r w:rsidR="00502FB2" w:rsidRPr="00A959E9">
              <w:rPr>
                <w:rStyle w:val="Hiperligao"/>
                <w:noProof/>
              </w:rPr>
              <w:t>2.7.</w:t>
            </w:r>
            <w:r w:rsidR="00502FB2">
              <w:rPr>
                <w:noProof/>
                <w:lang w:val="es-ES" w:eastAsia="es-ES"/>
              </w:rPr>
              <w:tab/>
            </w:r>
            <w:r w:rsidR="00502FB2" w:rsidRPr="00A959E9">
              <w:rPr>
                <w:rStyle w:val="Hiperligao"/>
                <w:noProof/>
              </w:rPr>
              <w:t xml:space="preserve">EIXO ESTRATÉGICO </w:t>
            </w:r>
            <w:r w:rsidR="00502FB2" w:rsidRPr="00A959E9">
              <w:rPr>
                <w:rStyle w:val="Hiperligao"/>
                <w:i/>
                <w:noProof/>
              </w:rPr>
              <w:t>REFORÇO INSTITUCIONAL</w:t>
            </w:r>
            <w:r w:rsidR="00502FB2" w:rsidRPr="00A959E9">
              <w:rPr>
                <w:rStyle w:val="Hiperligao"/>
                <w:noProof/>
              </w:rPr>
              <w:t xml:space="preserve"> </w:t>
            </w:r>
            <w:r w:rsidR="00502FB2" w:rsidRPr="00A959E9">
              <w:rPr>
                <w:rStyle w:val="Hiperligao"/>
                <w:i/>
                <w:noProof/>
              </w:rPr>
              <w:t>PARA A INTEGRAÇÃO DA ABORDAGEM DE GÉNERO NAS POLÍTICAS PÚBLICAS.</w:t>
            </w:r>
            <w:r w:rsidR="00502FB2">
              <w:rPr>
                <w:noProof/>
                <w:webHidden/>
              </w:rPr>
              <w:tab/>
            </w:r>
            <w:r w:rsidR="00502FB2">
              <w:rPr>
                <w:noProof/>
                <w:webHidden/>
              </w:rPr>
              <w:fldChar w:fldCharType="begin"/>
            </w:r>
            <w:r w:rsidR="00502FB2">
              <w:rPr>
                <w:noProof/>
                <w:webHidden/>
              </w:rPr>
              <w:instrText xml:space="preserve"> PAGEREF _Toc406667305 \h </w:instrText>
            </w:r>
            <w:r w:rsidR="00502FB2">
              <w:rPr>
                <w:noProof/>
                <w:webHidden/>
              </w:rPr>
            </w:r>
            <w:r w:rsidR="00502FB2">
              <w:rPr>
                <w:noProof/>
                <w:webHidden/>
              </w:rPr>
              <w:fldChar w:fldCharType="separate"/>
            </w:r>
            <w:r w:rsidR="00502FB2">
              <w:rPr>
                <w:noProof/>
                <w:webHidden/>
              </w:rPr>
              <w:t>75</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306" w:history="1">
            <w:r w:rsidR="00502FB2" w:rsidRPr="00A959E9">
              <w:rPr>
                <w:rStyle w:val="Hiperligao"/>
                <w:noProof/>
              </w:rPr>
              <w:t>3 QUADRO INSTITUCIONAL DE INTERVENÇÃO, COORDENAÇÃO E DE PARCERIA</w:t>
            </w:r>
            <w:r w:rsidR="00502FB2">
              <w:rPr>
                <w:noProof/>
                <w:webHidden/>
              </w:rPr>
              <w:tab/>
            </w:r>
            <w:r w:rsidR="00502FB2">
              <w:rPr>
                <w:noProof/>
                <w:webHidden/>
              </w:rPr>
              <w:fldChar w:fldCharType="begin"/>
            </w:r>
            <w:r w:rsidR="00502FB2">
              <w:rPr>
                <w:noProof/>
                <w:webHidden/>
              </w:rPr>
              <w:instrText xml:space="preserve"> PAGEREF _Toc406667306 \h </w:instrText>
            </w:r>
            <w:r w:rsidR="00502FB2">
              <w:rPr>
                <w:noProof/>
                <w:webHidden/>
              </w:rPr>
            </w:r>
            <w:r w:rsidR="00502FB2">
              <w:rPr>
                <w:noProof/>
                <w:webHidden/>
              </w:rPr>
              <w:fldChar w:fldCharType="separate"/>
            </w:r>
            <w:r w:rsidR="00502FB2">
              <w:rPr>
                <w:noProof/>
                <w:webHidden/>
              </w:rPr>
              <w:t>77</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307" w:history="1">
            <w:r w:rsidR="00502FB2" w:rsidRPr="00A959E9">
              <w:rPr>
                <w:rStyle w:val="Hiperligao"/>
                <w:noProof/>
              </w:rPr>
              <w:t>4. SEGUIMENTO E AVALIAÇÃO</w:t>
            </w:r>
            <w:r w:rsidR="00502FB2">
              <w:rPr>
                <w:noProof/>
                <w:webHidden/>
              </w:rPr>
              <w:tab/>
            </w:r>
            <w:r w:rsidR="00502FB2">
              <w:rPr>
                <w:noProof/>
                <w:webHidden/>
              </w:rPr>
              <w:fldChar w:fldCharType="begin"/>
            </w:r>
            <w:r w:rsidR="00502FB2">
              <w:rPr>
                <w:noProof/>
                <w:webHidden/>
              </w:rPr>
              <w:instrText xml:space="preserve"> PAGEREF _Toc406667307 \h </w:instrText>
            </w:r>
            <w:r w:rsidR="00502FB2">
              <w:rPr>
                <w:noProof/>
                <w:webHidden/>
              </w:rPr>
            </w:r>
            <w:r w:rsidR="00502FB2">
              <w:rPr>
                <w:noProof/>
                <w:webHidden/>
              </w:rPr>
              <w:fldChar w:fldCharType="separate"/>
            </w:r>
            <w:r w:rsidR="00502FB2">
              <w:rPr>
                <w:noProof/>
                <w:webHidden/>
              </w:rPr>
              <w:t>91</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308" w:history="1">
            <w:r w:rsidR="00502FB2" w:rsidRPr="00A959E9">
              <w:rPr>
                <w:rStyle w:val="Hiperligao"/>
                <w:noProof/>
              </w:rPr>
              <w:t>4.1. Matriz de seguimento e avaliação dos Impactos</w:t>
            </w:r>
            <w:r w:rsidR="00502FB2">
              <w:rPr>
                <w:noProof/>
                <w:webHidden/>
              </w:rPr>
              <w:tab/>
            </w:r>
            <w:r w:rsidR="00502FB2">
              <w:rPr>
                <w:noProof/>
                <w:webHidden/>
              </w:rPr>
              <w:fldChar w:fldCharType="begin"/>
            </w:r>
            <w:r w:rsidR="00502FB2">
              <w:rPr>
                <w:noProof/>
                <w:webHidden/>
              </w:rPr>
              <w:instrText xml:space="preserve"> PAGEREF _Toc406667308 \h </w:instrText>
            </w:r>
            <w:r w:rsidR="00502FB2">
              <w:rPr>
                <w:noProof/>
                <w:webHidden/>
              </w:rPr>
            </w:r>
            <w:r w:rsidR="00502FB2">
              <w:rPr>
                <w:noProof/>
                <w:webHidden/>
              </w:rPr>
              <w:fldChar w:fldCharType="separate"/>
            </w:r>
            <w:r w:rsidR="00502FB2">
              <w:rPr>
                <w:noProof/>
                <w:webHidden/>
              </w:rPr>
              <w:t>94</w:t>
            </w:r>
            <w:r w:rsidR="00502FB2">
              <w:rPr>
                <w:noProof/>
                <w:webHidden/>
              </w:rPr>
              <w:fldChar w:fldCharType="end"/>
            </w:r>
          </w:hyperlink>
        </w:p>
        <w:p w:rsidR="00502FB2" w:rsidRDefault="001E6F8E">
          <w:pPr>
            <w:pStyle w:val="ndice2"/>
            <w:tabs>
              <w:tab w:val="right" w:leader="dot" w:pos="8494"/>
            </w:tabs>
            <w:rPr>
              <w:noProof/>
              <w:lang w:val="es-ES" w:eastAsia="es-ES"/>
            </w:rPr>
          </w:pPr>
          <w:hyperlink w:anchor="_Toc406667309" w:history="1">
            <w:r w:rsidR="00502FB2" w:rsidRPr="00A959E9">
              <w:rPr>
                <w:rStyle w:val="Hiperligao"/>
                <w:noProof/>
              </w:rPr>
              <w:t>4.2. Matriz de seguimento e avaliação dos efeitos</w:t>
            </w:r>
            <w:r w:rsidR="00502FB2">
              <w:rPr>
                <w:noProof/>
                <w:webHidden/>
              </w:rPr>
              <w:tab/>
            </w:r>
            <w:r w:rsidR="00502FB2">
              <w:rPr>
                <w:noProof/>
                <w:webHidden/>
              </w:rPr>
              <w:fldChar w:fldCharType="begin"/>
            </w:r>
            <w:r w:rsidR="00502FB2">
              <w:rPr>
                <w:noProof/>
                <w:webHidden/>
              </w:rPr>
              <w:instrText xml:space="preserve"> PAGEREF _Toc406667309 \h </w:instrText>
            </w:r>
            <w:r w:rsidR="00502FB2">
              <w:rPr>
                <w:noProof/>
                <w:webHidden/>
              </w:rPr>
            </w:r>
            <w:r w:rsidR="00502FB2">
              <w:rPr>
                <w:noProof/>
                <w:webHidden/>
              </w:rPr>
              <w:fldChar w:fldCharType="separate"/>
            </w:r>
            <w:r w:rsidR="00502FB2">
              <w:rPr>
                <w:noProof/>
                <w:webHidden/>
              </w:rPr>
              <w:t>97</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310" w:history="1">
            <w:r w:rsidR="00502FB2" w:rsidRPr="00A959E9">
              <w:rPr>
                <w:rStyle w:val="Hiperligao"/>
                <w:noProof/>
              </w:rPr>
              <w:t>5. ESTIMATIVA ORÇAMENTAL</w:t>
            </w:r>
            <w:r w:rsidR="00502FB2">
              <w:rPr>
                <w:noProof/>
                <w:webHidden/>
              </w:rPr>
              <w:tab/>
            </w:r>
            <w:r w:rsidR="00502FB2">
              <w:rPr>
                <w:noProof/>
                <w:webHidden/>
              </w:rPr>
              <w:fldChar w:fldCharType="begin"/>
            </w:r>
            <w:r w:rsidR="00502FB2">
              <w:rPr>
                <w:noProof/>
                <w:webHidden/>
              </w:rPr>
              <w:instrText xml:space="preserve"> PAGEREF _Toc406667310 \h </w:instrText>
            </w:r>
            <w:r w:rsidR="00502FB2">
              <w:rPr>
                <w:noProof/>
                <w:webHidden/>
              </w:rPr>
            </w:r>
            <w:r w:rsidR="00502FB2">
              <w:rPr>
                <w:noProof/>
                <w:webHidden/>
              </w:rPr>
              <w:fldChar w:fldCharType="separate"/>
            </w:r>
            <w:r w:rsidR="00502FB2">
              <w:rPr>
                <w:noProof/>
                <w:webHidden/>
              </w:rPr>
              <w:t>101</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311" w:history="1">
            <w:r w:rsidR="00502FB2" w:rsidRPr="00A959E9">
              <w:rPr>
                <w:rStyle w:val="Hiperligao"/>
                <w:noProof/>
              </w:rPr>
              <w:t>SIGLAS E ACRÔNIMOS</w:t>
            </w:r>
            <w:r w:rsidR="00502FB2">
              <w:rPr>
                <w:noProof/>
                <w:webHidden/>
              </w:rPr>
              <w:tab/>
            </w:r>
            <w:r w:rsidR="00502FB2">
              <w:rPr>
                <w:noProof/>
                <w:webHidden/>
              </w:rPr>
              <w:fldChar w:fldCharType="begin"/>
            </w:r>
            <w:r w:rsidR="00502FB2">
              <w:rPr>
                <w:noProof/>
                <w:webHidden/>
              </w:rPr>
              <w:instrText xml:space="preserve"> PAGEREF _Toc406667311 \h </w:instrText>
            </w:r>
            <w:r w:rsidR="00502FB2">
              <w:rPr>
                <w:noProof/>
                <w:webHidden/>
              </w:rPr>
            </w:r>
            <w:r w:rsidR="00502FB2">
              <w:rPr>
                <w:noProof/>
                <w:webHidden/>
              </w:rPr>
              <w:fldChar w:fldCharType="separate"/>
            </w:r>
            <w:r w:rsidR="00502FB2">
              <w:rPr>
                <w:noProof/>
                <w:webHidden/>
              </w:rPr>
              <w:t>113</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312" w:history="1">
            <w:r w:rsidR="00502FB2" w:rsidRPr="00A959E9">
              <w:rPr>
                <w:rStyle w:val="Hiperligao"/>
                <w:noProof/>
              </w:rPr>
              <w:t>ANEXO 1: TABELA DE INDICADORES</w:t>
            </w:r>
            <w:r w:rsidR="00502FB2">
              <w:rPr>
                <w:noProof/>
                <w:webHidden/>
              </w:rPr>
              <w:tab/>
            </w:r>
            <w:r w:rsidR="00502FB2">
              <w:rPr>
                <w:noProof/>
                <w:webHidden/>
              </w:rPr>
              <w:fldChar w:fldCharType="begin"/>
            </w:r>
            <w:r w:rsidR="00502FB2">
              <w:rPr>
                <w:noProof/>
                <w:webHidden/>
              </w:rPr>
              <w:instrText xml:space="preserve"> PAGEREF _Toc406667312 \h </w:instrText>
            </w:r>
            <w:r w:rsidR="00502FB2">
              <w:rPr>
                <w:noProof/>
                <w:webHidden/>
              </w:rPr>
            </w:r>
            <w:r w:rsidR="00502FB2">
              <w:rPr>
                <w:noProof/>
                <w:webHidden/>
              </w:rPr>
              <w:fldChar w:fldCharType="separate"/>
            </w:r>
            <w:r w:rsidR="00502FB2">
              <w:rPr>
                <w:noProof/>
                <w:webHidden/>
              </w:rPr>
              <w:t>116</w:t>
            </w:r>
            <w:r w:rsidR="00502FB2">
              <w:rPr>
                <w:noProof/>
                <w:webHidden/>
              </w:rPr>
              <w:fldChar w:fldCharType="end"/>
            </w:r>
          </w:hyperlink>
        </w:p>
        <w:p w:rsidR="00502FB2" w:rsidRDefault="001E6F8E">
          <w:pPr>
            <w:pStyle w:val="ndice1"/>
            <w:tabs>
              <w:tab w:val="right" w:leader="dot" w:pos="8494"/>
            </w:tabs>
            <w:rPr>
              <w:noProof/>
              <w:lang w:val="es-ES" w:eastAsia="es-ES"/>
            </w:rPr>
          </w:pPr>
          <w:hyperlink w:anchor="_Toc406667313" w:history="1">
            <w:r w:rsidR="00502FB2" w:rsidRPr="00A959E9">
              <w:rPr>
                <w:rStyle w:val="Hiperligao"/>
                <w:noProof/>
              </w:rPr>
              <w:t>ANEXO 2: Formato de Relatório para Seguimento e Avaliação</w:t>
            </w:r>
            <w:r w:rsidR="00502FB2">
              <w:rPr>
                <w:noProof/>
                <w:webHidden/>
              </w:rPr>
              <w:tab/>
            </w:r>
            <w:r w:rsidR="00502FB2">
              <w:rPr>
                <w:noProof/>
                <w:webHidden/>
              </w:rPr>
              <w:fldChar w:fldCharType="begin"/>
            </w:r>
            <w:r w:rsidR="00502FB2">
              <w:rPr>
                <w:noProof/>
                <w:webHidden/>
              </w:rPr>
              <w:instrText xml:space="preserve"> PAGEREF _Toc406667313 \h </w:instrText>
            </w:r>
            <w:r w:rsidR="00502FB2">
              <w:rPr>
                <w:noProof/>
                <w:webHidden/>
              </w:rPr>
            </w:r>
            <w:r w:rsidR="00502FB2">
              <w:rPr>
                <w:noProof/>
                <w:webHidden/>
              </w:rPr>
              <w:fldChar w:fldCharType="separate"/>
            </w:r>
            <w:r w:rsidR="00502FB2">
              <w:rPr>
                <w:noProof/>
                <w:webHidden/>
              </w:rPr>
              <w:t>126</w:t>
            </w:r>
            <w:r w:rsidR="00502FB2">
              <w:rPr>
                <w:noProof/>
                <w:webHidden/>
              </w:rPr>
              <w:fldChar w:fldCharType="end"/>
            </w:r>
          </w:hyperlink>
        </w:p>
        <w:p w:rsidR="001265F0" w:rsidRPr="00C90523" w:rsidRDefault="00F202BB" w:rsidP="003D7BB4">
          <w:pPr>
            <w:tabs>
              <w:tab w:val="left" w:pos="1320"/>
            </w:tabs>
          </w:pPr>
          <w:r w:rsidRPr="006568A3">
            <w:fldChar w:fldCharType="end"/>
          </w:r>
          <w:r w:rsidR="003D7BB4" w:rsidRPr="00C90523">
            <w:tab/>
          </w:r>
        </w:p>
      </w:sdtContent>
    </w:sdt>
    <w:p w:rsidR="00F60A93" w:rsidRPr="00C90523" w:rsidRDefault="006568A3">
      <w:pPr>
        <w:rPr>
          <w:rFonts w:asciiTheme="majorHAnsi" w:eastAsiaTheme="majorEastAsia" w:hAnsiTheme="majorHAnsi" w:cstheme="majorBidi"/>
          <w:b/>
          <w:bCs/>
          <w:color w:val="365F91" w:themeColor="accent1" w:themeShade="BF"/>
          <w:sz w:val="28"/>
          <w:szCs w:val="28"/>
          <w:highlight w:val="green"/>
        </w:rPr>
      </w:pPr>
      <w:r w:rsidRPr="006568A3">
        <w:rPr>
          <w:highlight w:val="green"/>
        </w:rPr>
        <w:br w:type="page"/>
      </w:r>
    </w:p>
    <w:p w:rsidR="00E43788" w:rsidRPr="00C90523" w:rsidRDefault="006568A3" w:rsidP="002D786A">
      <w:pPr>
        <w:pStyle w:val="Cabealho1"/>
        <w:ind w:right="386"/>
      </w:pPr>
      <w:bookmarkStart w:id="1" w:name="_Toc406667256"/>
      <w:r w:rsidRPr="006568A3">
        <w:rPr>
          <w:highlight w:val="green"/>
        </w:rPr>
        <w:lastRenderedPageBreak/>
        <w:t>PREFÁCIO/APRESENTAÇÃO</w:t>
      </w:r>
      <w:bookmarkEnd w:id="1"/>
      <w:r w:rsidRPr="006568A3">
        <w:t xml:space="preserve"> </w:t>
      </w:r>
    </w:p>
    <w:p w:rsidR="00EB2268" w:rsidRPr="00C90523" w:rsidRDefault="00EB2268" w:rsidP="00EB2268">
      <w:pPr>
        <w:spacing w:after="0"/>
      </w:pPr>
    </w:p>
    <w:p w:rsidR="00402A93" w:rsidRPr="00C90523" w:rsidRDefault="00402A93">
      <w:pPr>
        <w:sectPr w:rsidR="00402A93" w:rsidRPr="00C90523" w:rsidSect="007076FC">
          <w:footerReference w:type="default" r:id="rId8"/>
          <w:pgSz w:w="11906" w:h="17338"/>
          <w:pgMar w:top="1417" w:right="1701" w:bottom="1417" w:left="1701" w:header="720" w:footer="720" w:gutter="0"/>
          <w:pgNumType w:start="0"/>
          <w:cols w:space="720"/>
          <w:noEndnote/>
          <w:titlePg/>
          <w:docGrid w:linePitch="299"/>
        </w:sectPr>
      </w:pPr>
    </w:p>
    <w:p w:rsidR="00402A93" w:rsidRPr="00C90523" w:rsidRDefault="00402A93"/>
    <w:p w:rsidR="00402A93" w:rsidRPr="00C90523" w:rsidRDefault="00402A93"/>
    <w:p w:rsidR="00402A93" w:rsidRPr="00C90523" w:rsidRDefault="00402A93"/>
    <w:p w:rsidR="00402A93" w:rsidRPr="00C90523" w:rsidRDefault="00402A93"/>
    <w:p w:rsidR="00E25EFD" w:rsidRPr="00C90523" w:rsidRDefault="00E25EFD"/>
    <w:p w:rsidR="00E25EFD" w:rsidRPr="00C90523" w:rsidRDefault="00E25EFD"/>
    <w:p w:rsidR="00402A93" w:rsidRPr="00C90523" w:rsidRDefault="006568A3" w:rsidP="00623896">
      <w:pPr>
        <w:pStyle w:val="Cabealho1"/>
        <w:jc w:val="center"/>
        <w:rPr>
          <w:sz w:val="52"/>
          <w:szCs w:val="52"/>
        </w:rPr>
      </w:pPr>
      <w:bookmarkStart w:id="2" w:name="_Toc406667257"/>
      <w:r w:rsidRPr="006568A3">
        <w:rPr>
          <w:sz w:val="52"/>
          <w:szCs w:val="52"/>
        </w:rPr>
        <w:t>PARTE I: INTRODUÇÃO</w:t>
      </w:r>
      <w:bookmarkEnd w:id="2"/>
    </w:p>
    <w:p w:rsidR="00147522" w:rsidRPr="00C90523" w:rsidRDefault="006568A3" w:rsidP="00147522">
      <w:pPr>
        <w:jc w:val="center"/>
        <w:rPr>
          <w:color w:val="002060"/>
        </w:rPr>
      </w:pPr>
      <w:r w:rsidRPr="006568A3">
        <w:rPr>
          <w:color w:val="002060"/>
        </w:rPr>
        <w:t>______________________________________________________________________</w:t>
      </w:r>
    </w:p>
    <w:p w:rsidR="00147522" w:rsidRPr="00C90523" w:rsidRDefault="00147522" w:rsidP="00147522"/>
    <w:p w:rsidR="00147522" w:rsidRPr="00C90523" w:rsidRDefault="00147522" w:rsidP="00147522"/>
    <w:p w:rsidR="00AA5ECD" w:rsidRPr="00C90523" w:rsidRDefault="006568A3">
      <w:pPr>
        <w:rPr>
          <w:rFonts w:asciiTheme="majorHAnsi" w:eastAsiaTheme="majorEastAsia" w:hAnsiTheme="majorHAnsi" w:cstheme="majorBidi"/>
          <w:b/>
          <w:bCs/>
          <w:color w:val="365F91" w:themeColor="accent1" w:themeShade="BF"/>
          <w:sz w:val="28"/>
          <w:szCs w:val="28"/>
        </w:rPr>
      </w:pPr>
      <w:r w:rsidRPr="006568A3">
        <w:br w:type="page"/>
      </w:r>
    </w:p>
    <w:p w:rsidR="00AA5ECD" w:rsidRPr="00C90523" w:rsidRDefault="006568A3" w:rsidP="002D786A">
      <w:pPr>
        <w:pStyle w:val="Cabealho1"/>
        <w:spacing w:after="120"/>
      </w:pPr>
      <w:bookmarkStart w:id="3" w:name="_Toc406667258"/>
      <w:r w:rsidRPr="006568A3">
        <w:lastRenderedPageBreak/>
        <w:t>1. INTRODUÇÃO</w:t>
      </w:r>
      <w:bookmarkEnd w:id="3"/>
      <w:r w:rsidRPr="006568A3">
        <w:t xml:space="preserve"> </w:t>
      </w:r>
    </w:p>
    <w:p w:rsidR="0061351D" w:rsidRPr="00C90523" w:rsidRDefault="006568A3" w:rsidP="00A75866">
      <w:pPr>
        <w:autoSpaceDE w:val="0"/>
        <w:autoSpaceDN w:val="0"/>
        <w:adjustRightInd w:val="0"/>
        <w:spacing w:after="0" w:line="240" w:lineRule="auto"/>
        <w:ind w:left="426" w:right="2834"/>
        <w:jc w:val="both"/>
        <w:rPr>
          <w:rFonts w:cs="TrebuchetMS"/>
          <w:i/>
          <w:sz w:val="18"/>
          <w:szCs w:val="18"/>
        </w:rPr>
      </w:pPr>
      <w:r w:rsidRPr="006568A3">
        <w:rPr>
          <w:rFonts w:cs="TrebuchetMS"/>
          <w:i/>
          <w:sz w:val="18"/>
          <w:szCs w:val="18"/>
        </w:rPr>
        <w:t xml:space="preserve">Todos os direitos humanos são universais, indivisíveis, interdependentes e inter-relacionados. Os direitos humanos das mulheres e meninas são parte inalienável, integral e indivisível desses direitos </w:t>
      </w:r>
    </w:p>
    <w:p w:rsidR="00AA5ECD" w:rsidRPr="00C90523" w:rsidRDefault="006568A3" w:rsidP="002D786A">
      <w:pPr>
        <w:tabs>
          <w:tab w:val="left" w:pos="5812"/>
        </w:tabs>
        <w:autoSpaceDE w:val="0"/>
        <w:autoSpaceDN w:val="0"/>
        <w:adjustRightInd w:val="0"/>
        <w:spacing w:after="0" w:line="240" w:lineRule="auto"/>
        <w:ind w:left="426" w:right="3694"/>
        <w:jc w:val="both"/>
        <w:rPr>
          <w:rFonts w:cs="TrebuchetMS"/>
          <w:i/>
          <w:sz w:val="18"/>
          <w:szCs w:val="18"/>
        </w:rPr>
      </w:pPr>
      <w:r w:rsidRPr="006568A3">
        <w:rPr>
          <w:rFonts w:cs="TrebuchetMS"/>
          <w:i/>
          <w:sz w:val="18"/>
          <w:szCs w:val="18"/>
        </w:rPr>
        <w:t>(Declaração de Viena, 1993)</w:t>
      </w:r>
    </w:p>
    <w:p w:rsidR="00AA5ECD" w:rsidRPr="00C90523" w:rsidRDefault="00AA5ECD" w:rsidP="00AA5ECD">
      <w:pPr>
        <w:autoSpaceDE w:val="0"/>
        <w:autoSpaceDN w:val="0"/>
        <w:adjustRightInd w:val="0"/>
        <w:spacing w:after="0"/>
        <w:jc w:val="both"/>
        <w:rPr>
          <w:rFonts w:cs="Arial"/>
        </w:rPr>
      </w:pPr>
    </w:p>
    <w:p w:rsidR="002D786A" w:rsidRPr="00C90523" w:rsidRDefault="002D786A" w:rsidP="00AA5ECD">
      <w:pPr>
        <w:autoSpaceDE w:val="0"/>
        <w:autoSpaceDN w:val="0"/>
        <w:adjustRightInd w:val="0"/>
        <w:spacing w:after="0"/>
        <w:jc w:val="both"/>
        <w:rPr>
          <w:rFonts w:cs="Arial"/>
        </w:rPr>
      </w:pPr>
    </w:p>
    <w:p w:rsidR="000D287C" w:rsidRPr="00C90523" w:rsidRDefault="000D287C" w:rsidP="000D287C">
      <w:pPr>
        <w:autoSpaceDE w:val="0"/>
        <w:autoSpaceDN w:val="0"/>
        <w:adjustRightInd w:val="0"/>
        <w:spacing w:after="0"/>
        <w:jc w:val="both"/>
        <w:rPr>
          <w:rFonts w:cs="Arial"/>
        </w:rPr>
      </w:pPr>
      <w:r w:rsidRPr="00C90523">
        <w:rPr>
          <w:rFonts w:cs="Arial"/>
        </w:rPr>
        <w:t>A igualdade de género é um princípio universal de direito e um compromisso de dimensão global reconhecid</w:t>
      </w:r>
      <w:r w:rsidRPr="00861276">
        <w:rPr>
          <w:rFonts w:cs="Arial"/>
        </w:rPr>
        <w:t>o nos principais instrumentos internacionais sobre direitos humanos e aplicável tanto aos Estados a respeito dos seus habitantes, como nas relações internacionais. A Constituição da República de Cabo Verde no seu artigo primeiro reconhece a igualdade de t</w:t>
      </w:r>
      <w:r w:rsidRPr="00C90523">
        <w:rPr>
          <w:rFonts w:cs="Arial"/>
        </w:rPr>
        <w:t>odos os cidadãos perante a lei, sem distinção de origem social ou situação económica, raça, sexo, religião, convicções políticas ou ideológicas e condição social, e assegura o pleno exercício por todos os cidadãos das liberdades fundamentais.</w:t>
      </w:r>
    </w:p>
    <w:p w:rsidR="000D287C" w:rsidRPr="00C90523" w:rsidRDefault="000D287C" w:rsidP="000D287C">
      <w:pPr>
        <w:autoSpaceDE w:val="0"/>
        <w:autoSpaceDN w:val="0"/>
        <w:adjustRightInd w:val="0"/>
        <w:spacing w:after="0"/>
        <w:jc w:val="both"/>
        <w:rPr>
          <w:rFonts w:cs="Arial"/>
          <w:color w:val="00B050"/>
        </w:rPr>
      </w:pPr>
    </w:p>
    <w:p w:rsidR="000D287C" w:rsidRPr="00C90523" w:rsidRDefault="000D287C" w:rsidP="000D287C">
      <w:pPr>
        <w:autoSpaceDE w:val="0"/>
        <w:autoSpaceDN w:val="0"/>
        <w:adjustRightInd w:val="0"/>
        <w:spacing w:after="0"/>
        <w:jc w:val="both"/>
        <w:rPr>
          <w:rFonts w:cs="Arial"/>
        </w:rPr>
      </w:pPr>
      <w:r w:rsidRPr="00C90523">
        <w:rPr>
          <w:rFonts w:cs="Arial"/>
        </w:rPr>
        <w:t>A igualdade de género é também uma questão fundamental do desenvolvimento económico e social e da construção da democracia em termos políticos, sociais e económicos.</w:t>
      </w:r>
      <w:r w:rsidRPr="00C90523">
        <w:rPr>
          <w:rFonts w:cs="Arial"/>
          <w:color w:val="00B050"/>
        </w:rPr>
        <w:t xml:space="preserve"> </w:t>
      </w:r>
      <w:r w:rsidRPr="00C90523">
        <w:rPr>
          <w:rFonts w:cs="Arial"/>
        </w:rPr>
        <w:t>Atualmente, o desenvolvimento humano só pode ser compreendido com referência ao respeito dos direitos humanos das mulheres e homens à educação, saúde, habitação, emprego, igualdade perante a lei, ao respeito pela sua integridade física, à liberdade de expressão, movimento e participação política, entre outros.</w:t>
      </w:r>
    </w:p>
    <w:p w:rsidR="000D287C" w:rsidRPr="00C90523" w:rsidRDefault="000D287C" w:rsidP="000D287C">
      <w:pPr>
        <w:autoSpaceDE w:val="0"/>
        <w:autoSpaceDN w:val="0"/>
        <w:adjustRightInd w:val="0"/>
        <w:spacing w:after="0"/>
        <w:jc w:val="both"/>
        <w:rPr>
          <w:rFonts w:cs="Arial"/>
        </w:rPr>
      </w:pPr>
    </w:p>
    <w:p w:rsidR="000D287C" w:rsidRPr="00C90523" w:rsidRDefault="000D287C" w:rsidP="000D287C">
      <w:pPr>
        <w:jc w:val="both"/>
        <w:rPr>
          <w:rFonts w:cs="Arial"/>
        </w:rPr>
      </w:pPr>
      <w:r w:rsidRPr="00C90523">
        <w:t>O Programa do Governo (2012-2016) assinala a importância da igualdade de género, tida como um de quatro pilares coadjuvantes para o cresci</w:t>
      </w:r>
      <w:r w:rsidRPr="00C90523">
        <w:softHyphen/>
        <w:t>mento económico, a redução da pobreza e para atingir os Objectivos de Desenvolvimento do Milénio (ODM). Ancorada no Programa do Governo, a Estratégia de Crescimento e de Redução da Pobreza (DECRP III, 2012–2016) assinala a relevância da igualdade de género “</w:t>
      </w:r>
      <w:r w:rsidRPr="00C90523">
        <w:rPr>
          <w:i/>
        </w:rPr>
        <w:t>numa perspectiva da competitividade uma vez que os desafios do aumento da produtividade e crescimento económico só podem ser vencidos através da realização do pleno potencial contributo das mulheres”</w:t>
      </w:r>
      <w:r w:rsidRPr="00C90523">
        <w:rPr>
          <w:rStyle w:val="Refdenotaderodap"/>
          <w:i/>
        </w:rPr>
        <w:footnoteReference w:id="1"/>
      </w:r>
      <w:r w:rsidRPr="00C90523">
        <w:rPr>
          <w:i/>
        </w:rPr>
        <w:t xml:space="preserve"> </w:t>
      </w:r>
      <w:r w:rsidRPr="00C90523">
        <w:rPr>
          <w:rFonts w:cs="Arial"/>
        </w:rPr>
        <w:t>e destaca a importância de tomá-la em conta por forma a continuar a alcançar progressos no combate à pobreza</w:t>
      </w:r>
      <w:r w:rsidRPr="00C90523">
        <w:rPr>
          <w:rStyle w:val="Refdenotaderodap"/>
          <w:rFonts w:cs="Arial"/>
        </w:rPr>
        <w:footnoteReference w:id="2"/>
      </w:r>
      <w:r w:rsidRPr="00C90523">
        <w:rPr>
          <w:rFonts w:cs="Arial"/>
        </w:rPr>
        <w:t>.</w:t>
      </w:r>
    </w:p>
    <w:p w:rsidR="000D287C" w:rsidRPr="00C90523" w:rsidRDefault="000D287C" w:rsidP="000D287C">
      <w:pPr>
        <w:autoSpaceDE w:val="0"/>
        <w:autoSpaceDN w:val="0"/>
        <w:adjustRightInd w:val="0"/>
        <w:spacing w:after="0"/>
        <w:jc w:val="both"/>
        <w:rPr>
          <w:rFonts w:cs="Arial"/>
        </w:rPr>
      </w:pPr>
      <w:r w:rsidRPr="00861276">
        <w:rPr>
          <w:rFonts w:cs="Arial"/>
        </w:rPr>
        <w:t>Além disso, o DECRP III expõe que a promoção da equidade e igualdade do género continuará a encontrar no</w:t>
      </w:r>
      <w:r w:rsidRPr="00C90523">
        <w:rPr>
          <w:rFonts w:cs="Arial"/>
        </w:rPr>
        <w:t xml:space="preserve"> Instituto Cabo-verdiano para a Igualdade e Equidade do Género (ICIEG) o ponto nevrálgico para a promoção de políticas transversais e propõe que o mesmo continue a apostar numa agenda ambiciosa com vista a conseguir mudanças qualitativas de comportamentos e atitudes face ao papel das mulheres no plano socioeconómico.</w:t>
      </w:r>
      <w:r w:rsidRPr="00C90523">
        <w:rPr>
          <w:rStyle w:val="Refdenotaderodap"/>
          <w:rFonts w:cs="Arial"/>
        </w:rPr>
        <w:footnoteReference w:id="3"/>
      </w:r>
    </w:p>
    <w:p w:rsidR="000D287C" w:rsidRPr="00861276" w:rsidRDefault="000D287C" w:rsidP="000D287C">
      <w:pPr>
        <w:autoSpaceDE w:val="0"/>
        <w:autoSpaceDN w:val="0"/>
        <w:adjustRightInd w:val="0"/>
        <w:spacing w:after="0"/>
        <w:jc w:val="both"/>
        <w:rPr>
          <w:rFonts w:cs="Arial"/>
        </w:rPr>
      </w:pPr>
    </w:p>
    <w:p w:rsidR="000D287C" w:rsidRPr="00C90523" w:rsidRDefault="000D287C" w:rsidP="000D287C">
      <w:pPr>
        <w:autoSpaceDE w:val="0"/>
        <w:autoSpaceDN w:val="0"/>
        <w:adjustRightInd w:val="0"/>
        <w:spacing w:after="0"/>
        <w:jc w:val="both"/>
      </w:pPr>
      <w:r w:rsidRPr="00C90523">
        <w:rPr>
          <w:rFonts w:cs="Arial"/>
        </w:rPr>
        <w:t xml:space="preserve">Neste quadro, o presente documento, o Plano Nacional de Igualdade de Género 2015-2018 (PNIG), </w:t>
      </w:r>
      <w:r w:rsidRPr="00C90523">
        <w:rPr>
          <w:iCs/>
        </w:rPr>
        <w:t>tem o propósito de dotar o Estado de Cabo Verde de um quadro referencial para a formulação e implementação de políticas, programas e ações estratégicas, tanto específicas como transversais</w:t>
      </w:r>
      <w:r w:rsidRPr="00C90523">
        <w:t xml:space="preserve"> que contribuíam de forma integral à promoção da igualdade de direitos, deveres e oportunidades para homens e mulheres e a uma </w:t>
      </w:r>
      <w:r w:rsidRPr="00C90523">
        <w:rPr>
          <w:rFonts w:cs="Arial"/>
        </w:rPr>
        <w:t xml:space="preserve">efetiva e visível participação da mulher em todos os domínios da vida social contribuindo para  o seu </w:t>
      </w:r>
      <w:r w:rsidRPr="00C90523">
        <w:t>empoderamento.</w:t>
      </w:r>
    </w:p>
    <w:p w:rsidR="000D287C" w:rsidRPr="00C90523" w:rsidRDefault="000D287C" w:rsidP="000D287C">
      <w:pPr>
        <w:autoSpaceDE w:val="0"/>
        <w:autoSpaceDN w:val="0"/>
        <w:adjustRightInd w:val="0"/>
        <w:spacing w:after="0"/>
        <w:jc w:val="both"/>
      </w:pPr>
    </w:p>
    <w:p w:rsidR="000D287C" w:rsidRPr="00C90523" w:rsidRDefault="000D287C" w:rsidP="000D287C">
      <w:pPr>
        <w:autoSpaceDE w:val="0"/>
        <w:autoSpaceDN w:val="0"/>
        <w:adjustRightInd w:val="0"/>
        <w:spacing w:after="0"/>
        <w:jc w:val="both"/>
        <w:rPr>
          <w:rFonts w:cs="Arial"/>
        </w:rPr>
      </w:pPr>
      <w:r w:rsidRPr="00C90523">
        <w:rPr>
          <w:rFonts w:cs="Arial"/>
        </w:rPr>
        <w:lastRenderedPageBreak/>
        <w:t xml:space="preserve">Ele é, por conseguinte, uma ferramenta de e para todos e todas, numa lógica de transversalidade que pressupõe e promove o estabelecimento de parcerias entre diferentes sujeitos e diferentes áreas de prestação. </w:t>
      </w:r>
    </w:p>
    <w:p w:rsidR="000D287C" w:rsidRPr="00C90523" w:rsidRDefault="000D287C" w:rsidP="000D287C">
      <w:pPr>
        <w:autoSpaceDE w:val="0"/>
        <w:autoSpaceDN w:val="0"/>
        <w:adjustRightInd w:val="0"/>
        <w:spacing w:after="0"/>
        <w:jc w:val="both"/>
        <w:rPr>
          <w:rFonts w:cs="Arial"/>
        </w:rPr>
      </w:pPr>
    </w:p>
    <w:p w:rsidR="000D287C" w:rsidRPr="00C90523" w:rsidRDefault="000D287C" w:rsidP="000D287C">
      <w:pPr>
        <w:spacing w:after="0"/>
        <w:jc w:val="both"/>
        <w:rPr>
          <w:rFonts w:cstheme="minorHAnsi"/>
        </w:rPr>
      </w:pPr>
      <w:r w:rsidRPr="00C90523">
        <w:rPr>
          <w:rFonts w:cstheme="minorHAnsi"/>
        </w:rPr>
        <w:t>A elaboração do Plano foi coordenada pelo ICIEG, que trabalhou em conjunto com o Comité Técnico Alargado (CTA) criado para o efeito,</w:t>
      </w:r>
      <w:r w:rsidRPr="00C90523">
        <w:t xml:space="preserve"> integrado por representantes de instituições públicas de vários sectores fundamentais para a promoção da igualdade de género, da ANMCV, da Rede de Mulheres Parlamentares e da sociedade civil engajada com a igualdade de género. O processo contou </w:t>
      </w:r>
      <w:r w:rsidRPr="00C90523">
        <w:rPr>
          <w:rFonts w:cstheme="minorHAnsi"/>
        </w:rPr>
        <w:t>com o apoio da Entidade das Nações Unidas para a Igualdade de Género e o Empoderamento das Mulheres (ONU Mulheres) e do Fundo das Nações Unidas para a População (UNFPA), e foi facilitado por uma equipa de Consultoria Internacional e Nacional seguindo uma metodologia participativa desenvolvida em varias etapas:</w:t>
      </w:r>
    </w:p>
    <w:p w:rsidR="000D287C" w:rsidRPr="00C90523" w:rsidRDefault="000D287C" w:rsidP="000D287C">
      <w:pPr>
        <w:spacing w:after="0"/>
        <w:jc w:val="both"/>
        <w:rPr>
          <w:rFonts w:cstheme="minorHAnsi"/>
        </w:rPr>
      </w:pPr>
    </w:p>
    <w:p w:rsidR="000D287C" w:rsidRPr="00C90523" w:rsidRDefault="000D287C" w:rsidP="00243978">
      <w:pPr>
        <w:pStyle w:val="PargrafodaLista"/>
        <w:numPr>
          <w:ilvl w:val="0"/>
          <w:numId w:val="1"/>
        </w:numPr>
        <w:spacing w:after="0"/>
        <w:jc w:val="both"/>
      </w:pPr>
      <w:r w:rsidRPr="00C90523">
        <w:rPr>
          <w:rFonts w:cstheme="minorHAnsi"/>
        </w:rPr>
        <w:t>Primeiro efetuou-se uma revisão documental abrangente, incluindo literatura internacional, a produção legislativa, os documentos estratégicos de desenvolvimento do país</w:t>
      </w:r>
      <w:r w:rsidRPr="00C90523">
        <w:rPr>
          <w:rStyle w:val="Refdenotaderodap"/>
        </w:rPr>
        <w:footnoteReference w:id="4"/>
      </w:r>
      <w:r w:rsidRPr="00C90523">
        <w:t xml:space="preserve"> e os planos relativos a igualdade de género produzidos até o presente,</w:t>
      </w:r>
      <w:r w:rsidRPr="00C90523">
        <w:rPr>
          <w:rStyle w:val="Refdenotaderodap"/>
        </w:rPr>
        <w:footnoteReference w:id="5"/>
      </w:r>
      <w:r w:rsidRPr="00C90523">
        <w:t xml:space="preserve"> as avaliações e relatórios de avanço disponíveis, assim como as informações estatísticas relevantes para este exercício. </w:t>
      </w:r>
    </w:p>
    <w:p w:rsidR="000D287C" w:rsidRPr="00C90523" w:rsidRDefault="000D287C" w:rsidP="000D287C">
      <w:pPr>
        <w:spacing w:after="0"/>
        <w:jc w:val="both"/>
        <w:rPr>
          <w:sz w:val="24"/>
          <w:szCs w:val="24"/>
        </w:rPr>
      </w:pPr>
    </w:p>
    <w:p w:rsidR="000D287C" w:rsidRPr="00C90523" w:rsidRDefault="000D287C" w:rsidP="00243978">
      <w:pPr>
        <w:pStyle w:val="PargrafodaLista"/>
        <w:numPr>
          <w:ilvl w:val="0"/>
          <w:numId w:val="1"/>
        </w:numPr>
        <w:jc w:val="both"/>
      </w:pPr>
      <w:r w:rsidRPr="00C90523">
        <w:t xml:space="preserve">Paralelamente foi realizado um exercício de auto-reflexão com os sectores, efetuado no âmbito do CTA, que teve por base um questionário sobre o </w:t>
      </w:r>
      <w:r w:rsidRPr="00C90523">
        <w:rPr>
          <w:i/>
        </w:rPr>
        <w:t>Ponto de situação integração da abordagem de género na acção dos sectores</w:t>
      </w:r>
      <w:r w:rsidRPr="00C90523">
        <w:t>, visando recolher informação sobre a forma como os sectores têm em conta a igualdade de género nas seguintes áreas: (1) Identificação questões relevantes para o sector; (2) Visão e planificação estratégica; (3) Planificação operacional; (4) Orçamento; (5) Seguimento e avaliação; (6) Recursos humanos e reforço das capacidades; (7) Ponto focal; (8) Articulação; (9) Diagnósticos e estatísticas e (10) Informação. O questionário foi preenchido por 10 sectores/instituições,</w:t>
      </w:r>
      <w:r w:rsidRPr="00C90523">
        <w:rPr>
          <w:rStyle w:val="Refdenotaderodap"/>
        </w:rPr>
        <w:footnoteReference w:id="6"/>
      </w:r>
      <w:r w:rsidRPr="00C90523">
        <w:t xml:space="preserve"> e os resultados globais foram discutidos numa sessão de trabalho com o CTA. </w:t>
      </w:r>
    </w:p>
    <w:p w:rsidR="000D287C" w:rsidRPr="00C90523" w:rsidRDefault="000D287C" w:rsidP="000D287C">
      <w:pPr>
        <w:pStyle w:val="PargrafodaLista"/>
        <w:jc w:val="both"/>
      </w:pPr>
    </w:p>
    <w:p w:rsidR="000D287C" w:rsidRPr="00C90523" w:rsidRDefault="000D287C" w:rsidP="00243978">
      <w:pPr>
        <w:pStyle w:val="PargrafodaLista"/>
        <w:numPr>
          <w:ilvl w:val="0"/>
          <w:numId w:val="1"/>
        </w:numPr>
        <w:ind w:left="714" w:hanging="357"/>
        <w:jc w:val="both"/>
      </w:pPr>
      <w:r w:rsidRPr="00C90523">
        <w:t xml:space="preserve">Como resultado desta primeira parte foi elaborado um diagnóstico contendo uma análise das relações de género no contexto demográfico, socioeconómico e cultural do país assim como do grau de priorização de género na programação estratégica nacional. O diagnóstico permitiu identificar os desafios e problemas centrais para a igualdade de género no país assim como as oportunidades para a transversalização da abordagem de género nos planos e programas sectoriais, tendo em conta as áreas estratégicas do plano do Governo e suas potencialidades para dar resposta aos  desafios identificados. </w:t>
      </w:r>
    </w:p>
    <w:p w:rsidR="000D287C" w:rsidRPr="00C90523" w:rsidRDefault="000D287C" w:rsidP="000D287C">
      <w:pPr>
        <w:pStyle w:val="PargrafodaLista"/>
        <w:jc w:val="both"/>
      </w:pPr>
    </w:p>
    <w:p w:rsidR="000D287C" w:rsidRPr="00C90523" w:rsidRDefault="000D287C" w:rsidP="00243978">
      <w:pPr>
        <w:pStyle w:val="PargrafodaLista"/>
        <w:numPr>
          <w:ilvl w:val="0"/>
          <w:numId w:val="1"/>
        </w:numPr>
        <w:jc w:val="both"/>
      </w:pPr>
      <w:r w:rsidRPr="00C90523">
        <w:lastRenderedPageBreak/>
        <w:t>O diagnóstico foi apresentado aos parceiros num atelier, durante o qual, após priorizados os principais desafios a que o PNIG deve dar resposta, foi também construído o referencial estratégico e operacional do plano (visão, objectivos, princípios de atuação, resultados, medidas estratégicas e quadro institucional de implementação).</w:t>
      </w:r>
    </w:p>
    <w:p w:rsidR="000D287C" w:rsidRPr="00C90523" w:rsidRDefault="000D287C" w:rsidP="000D287C">
      <w:pPr>
        <w:pStyle w:val="PargrafodaLista"/>
        <w:jc w:val="both"/>
      </w:pPr>
    </w:p>
    <w:p w:rsidR="000D287C" w:rsidRPr="00C90523" w:rsidRDefault="000D287C" w:rsidP="00243978">
      <w:pPr>
        <w:pStyle w:val="PargrafodaLista"/>
        <w:numPr>
          <w:ilvl w:val="0"/>
          <w:numId w:val="1"/>
        </w:numPr>
        <w:spacing w:after="0"/>
        <w:jc w:val="both"/>
      </w:pPr>
      <w:r w:rsidRPr="00C90523">
        <w:t>Após a redacção de um documento preliminar, a última etapa da elaboração do PNIG foi a realização de um ateliê de trabalho com as partes interessadas, para discutir e avaliar o conteúdo do mesmo e recolher as propostas de modificação que consecutivamente foram integradas na versão final.</w:t>
      </w:r>
    </w:p>
    <w:p w:rsidR="000D287C" w:rsidRPr="00C90523" w:rsidRDefault="000D287C" w:rsidP="000D287C">
      <w:pPr>
        <w:spacing w:after="0"/>
        <w:jc w:val="both"/>
        <w:rPr>
          <w:rFonts w:cstheme="minorHAnsi"/>
        </w:rPr>
      </w:pPr>
    </w:p>
    <w:p w:rsidR="000D287C" w:rsidRPr="00C90523" w:rsidRDefault="000D287C" w:rsidP="000D287C">
      <w:pPr>
        <w:spacing w:after="0"/>
        <w:jc w:val="both"/>
        <w:rPr>
          <w:rFonts w:cstheme="minorHAnsi"/>
        </w:rPr>
      </w:pPr>
      <w:r w:rsidRPr="00C90523">
        <w:rPr>
          <w:rFonts w:cstheme="minorHAnsi"/>
        </w:rPr>
        <w:t>Como resultado do processo, encontramo-nos com este Plano, produto de elaboração participativa com os sectores implicados e organizações da sociedade civil comprometidas com a igualdade de género, com vigência de 4 anos, focalizado em 8 eixos prioritários:</w:t>
      </w:r>
    </w:p>
    <w:p w:rsidR="000D287C" w:rsidRPr="00C90523" w:rsidRDefault="00687A10" w:rsidP="000D287C">
      <w:pPr>
        <w:spacing w:after="0"/>
        <w:ind w:firstLine="426"/>
        <w:jc w:val="both"/>
        <w:rPr>
          <w:rFonts w:cstheme="minorHAnsi"/>
        </w:rPr>
      </w:pPr>
      <w:r w:rsidRPr="00C90523">
        <w:rPr>
          <w:rFonts w:cstheme="minorHAnsi"/>
        </w:rPr>
        <w:t>1. Saúde;</w:t>
      </w:r>
    </w:p>
    <w:p w:rsidR="000D287C" w:rsidRPr="00C90523" w:rsidRDefault="000D287C" w:rsidP="000D287C">
      <w:pPr>
        <w:spacing w:after="0"/>
        <w:ind w:firstLine="426"/>
        <w:jc w:val="both"/>
        <w:rPr>
          <w:rFonts w:cstheme="minorHAnsi"/>
        </w:rPr>
      </w:pPr>
      <w:r w:rsidRPr="00C90523">
        <w:rPr>
          <w:rFonts w:cstheme="minorHAnsi"/>
        </w:rPr>
        <w:t>2. Direitos Sexuais e Reprodutivos</w:t>
      </w:r>
      <w:r w:rsidR="00687A10" w:rsidRPr="00C90523">
        <w:rPr>
          <w:rFonts w:cstheme="minorHAnsi"/>
        </w:rPr>
        <w:t>;</w:t>
      </w:r>
    </w:p>
    <w:p w:rsidR="000D287C" w:rsidRPr="00C90523" w:rsidRDefault="000D287C" w:rsidP="000D287C">
      <w:pPr>
        <w:spacing w:after="0"/>
        <w:ind w:firstLine="426"/>
        <w:jc w:val="both"/>
        <w:rPr>
          <w:rFonts w:cstheme="minorHAnsi"/>
        </w:rPr>
      </w:pPr>
      <w:r w:rsidRPr="00C90523">
        <w:rPr>
          <w:rFonts w:cstheme="minorHAnsi"/>
        </w:rPr>
        <w:t>3. Violência Baseada no Género</w:t>
      </w:r>
      <w:r w:rsidRPr="00C90523">
        <w:rPr>
          <w:rStyle w:val="Refdenotaderodap"/>
          <w:rFonts w:cstheme="minorHAnsi"/>
        </w:rPr>
        <w:footnoteReference w:id="7"/>
      </w:r>
      <w:r w:rsidR="00687A10" w:rsidRPr="00C90523">
        <w:rPr>
          <w:rFonts w:cstheme="minorHAnsi"/>
        </w:rPr>
        <w:t>;</w:t>
      </w:r>
    </w:p>
    <w:p w:rsidR="000D287C" w:rsidRPr="00C90523" w:rsidRDefault="000D287C" w:rsidP="000D287C">
      <w:pPr>
        <w:spacing w:after="0"/>
        <w:ind w:firstLine="426"/>
        <w:jc w:val="both"/>
        <w:rPr>
          <w:rFonts w:cstheme="minorHAnsi"/>
        </w:rPr>
      </w:pPr>
      <w:r w:rsidRPr="00861276">
        <w:rPr>
          <w:rFonts w:cstheme="minorHAnsi"/>
        </w:rPr>
        <w:t>4. Educação e formação profissional</w:t>
      </w:r>
      <w:r w:rsidR="00687A10" w:rsidRPr="00C90523">
        <w:rPr>
          <w:rFonts w:cstheme="minorHAnsi"/>
        </w:rPr>
        <w:t>;</w:t>
      </w:r>
    </w:p>
    <w:p w:rsidR="000D287C" w:rsidRPr="00C90523" w:rsidRDefault="000D287C" w:rsidP="000D287C">
      <w:pPr>
        <w:spacing w:after="0"/>
        <w:ind w:firstLine="426"/>
        <w:jc w:val="both"/>
        <w:rPr>
          <w:rFonts w:cstheme="minorHAnsi"/>
        </w:rPr>
      </w:pPr>
      <w:r w:rsidRPr="00C90523">
        <w:rPr>
          <w:rFonts w:cstheme="minorHAnsi"/>
        </w:rPr>
        <w:t>5. Economia produtiva</w:t>
      </w:r>
      <w:r w:rsidR="00687A10" w:rsidRPr="00C90523">
        <w:rPr>
          <w:rFonts w:cstheme="minorHAnsi"/>
        </w:rPr>
        <w:t>;</w:t>
      </w:r>
    </w:p>
    <w:p w:rsidR="000D287C" w:rsidRPr="00C90523" w:rsidRDefault="000D287C" w:rsidP="000D287C">
      <w:pPr>
        <w:spacing w:after="0"/>
        <w:ind w:firstLine="426"/>
        <w:jc w:val="both"/>
        <w:rPr>
          <w:rFonts w:cstheme="minorHAnsi"/>
        </w:rPr>
      </w:pPr>
      <w:r w:rsidRPr="00C90523">
        <w:rPr>
          <w:rFonts w:cstheme="minorHAnsi"/>
        </w:rPr>
        <w:t>6. Economia reprodutiva</w:t>
      </w:r>
      <w:r w:rsidR="00687A10" w:rsidRPr="00C90523">
        <w:rPr>
          <w:rFonts w:cstheme="minorHAnsi"/>
        </w:rPr>
        <w:t>;</w:t>
      </w:r>
      <w:r w:rsidRPr="00C90523">
        <w:rPr>
          <w:rFonts w:cstheme="minorHAnsi"/>
        </w:rPr>
        <w:t xml:space="preserve"> </w:t>
      </w:r>
    </w:p>
    <w:p w:rsidR="000D287C" w:rsidRPr="00C90523" w:rsidRDefault="000D287C" w:rsidP="000D287C">
      <w:pPr>
        <w:spacing w:after="0"/>
        <w:ind w:firstLine="426"/>
        <w:jc w:val="both"/>
        <w:rPr>
          <w:rFonts w:cstheme="minorHAnsi"/>
        </w:rPr>
      </w:pPr>
      <w:r w:rsidRPr="00C90523">
        <w:rPr>
          <w:rFonts w:cstheme="minorHAnsi"/>
        </w:rPr>
        <w:t>7. Participação política e nas esferas de tomada de decisão e comunicação</w:t>
      </w:r>
      <w:r w:rsidR="00687A10" w:rsidRPr="00C90523">
        <w:rPr>
          <w:rFonts w:cstheme="minorHAnsi"/>
        </w:rPr>
        <w:t>;</w:t>
      </w:r>
    </w:p>
    <w:p w:rsidR="000D287C" w:rsidRPr="00C90523" w:rsidRDefault="000D287C" w:rsidP="000D287C">
      <w:pPr>
        <w:spacing w:after="0"/>
        <w:ind w:firstLine="426"/>
        <w:jc w:val="both"/>
        <w:rPr>
          <w:rFonts w:cstheme="minorHAnsi"/>
        </w:rPr>
      </w:pPr>
      <w:r w:rsidRPr="00C90523">
        <w:rPr>
          <w:rFonts w:cstheme="minorHAnsi"/>
        </w:rPr>
        <w:t xml:space="preserve">8. </w:t>
      </w:r>
      <w:r w:rsidR="00413BCF" w:rsidRPr="00C90523">
        <w:rPr>
          <w:rFonts w:cstheme="minorHAnsi"/>
        </w:rPr>
        <w:t>Reforço institucional</w:t>
      </w:r>
      <w:r w:rsidRPr="00C90523">
        <w:rPr>
          <w:rFonts w:cstheme="minorHAnsi"/>
        </w:rPr>
        <w:t xml:space="preserve"> </w:t>
      </w:r>
      <w:r w:rsidR="004E457B" w:rsidRPr="00C90523">
        <w:rPr>
          <w:rFonts w:cstheme="minorHAnsi"/>
        </w:rPr>
        <w:t>para a integração da abordagem de género nas políticas públicas</w:t>
      </w:r>
      <w:r w:rsidR="00687A10" w:rsidRPr="00C90523">
        <w:rPr>
          <w:rFonts w:cstheme="minorHAnsi"/>
        </w:rPr>
        <w:t>.</w:t>
      </w:r>
    </w:p>
    <w:p w:rsidR="000D287C" w:rsidRPr="00C90523" w:rsidRDefault="000D287C" w:rsidP="000D287C">
      <w:pPr>
        <w:spacing w:after="0"/>
        <w:jc w:val="both"/>
        <w:rPr>
          <w:rFonts w:cstheme="minorHAnsi"/>
        </w:rPr>
      </w:pPr>
    </w:p>
    <w:p w:rsidR="00E96954" w:rsidRPr="00C90523" w:rsidRDefault="006568A3" w:rsidP="00E96954">
      <w:pPr>
        <w:spacing w:after="0"/>
        <w:rPr>
          <w:rFonts w:cstheme="minorHAnsi"/>
        </w:rPr>
      </w:pPr>
      <w:r w:rsidRPr="006568A3">
        <w:rPr>
          <w:rFonts w:cstheme="minorHAnsi"/>
        </w:rPr>
        <w:t xml:space="preserve">O documento do PNIG organiza-se em três partes: </w:t>
      </w:r>
    </w:p>
    <w:p w:rsidR="00E96954" w:rsidRPr="00C90523" w:rsidRDefault="00E96954" w:rsidP="00E96954">
      <w:pPr>
        <w:spacing w:after="0"/>
        <w:jc w:val="both"/>
        <w:rPr>
          <w:rFonts w:cstheme="minorHAnsi"/>
        </w:rPr>
      </w:pPr>
    </w:p>
    <w:p w:rsidR="00E96954" w:rsidRPr="006F22AA" w:rsidRDefault="006568A3" w:rsidP="00243978">
      <w:pPr>
        <w:pStyle w:val="PargrafodaLista"/>
        <w:numPr>
          <w:ilvl w:val="0"/>
          <w:numId w:val="2"/>
        </w:numPr>
        <w:suppressAutoHyphens/>
        <w:spacing w:after="0"/>
        <w:contextualSpacing w:val="0"/>
        <w:jc w:val="both"/>
        <w:rPr>
          <w:rFonts w:ascii="Calibri" w:hAnsi="Calibri" w:cs="Calibri"/>
          <w:b/>
        </w:rPr>
      </w:pPr>
      <w:r w:rsidRPr="006568A3">
        <w:rPr>
          <w:rFonts w:cstheme="minorHAnsi"/>
          <w:b/>
          <w:i/>
        </w:rPr>
        <w:t xml:space="preserve">1a parte </w:t>
      </w:r>
      <w:r w:rsidR="00C90523">
        <w:rPr>
          <w:rFonts w:cstheme="minorHAnsi"/>
          <w:b/>
          <w:i/>
        </w:rPr>
        <w:t>–</w:t>
      </w:r>
      <w:r w:rsidRPr="006568A3">
        <w:rPr>
          <w:rFonts w:cstheme="minorHAnsi"/>
          <w:b/>
          <w:i/>
        </w:rPr>
        <w:t xml:space="preserve"> Introdução</w:t>
      </w:r>
      <w:r w:rsidR="00C90523">
        <w:rPr>
          <w:rFonts w:cstheme="minorHAnsi"/>
          <w:b/>
          <w:i/>
        </w:rPr>
        <w:t>:</w:t>
      </w:r>
      <w:r w:rsidRPr="006568A3">
        <w:rPr>
          <w:rFonts w:cstheme="minorHAnsi"/>
          <w:b/>
          <w:i/>
        </w:rPr>
        <w:t xml:space="preserve"> </w:t>
      </w:r>
      <w:r w:rsidRPr="006568A3">
        <w:rPr>
          <w:rFonts w:cstheme="minorHAnsi"/>
        </w:rPr>
        <w:t xml:space="preserve"> Alem desta secção introdutória, se integra um apartado de quadro conceptual sobre a igualdade de género e sua ligação com outros elementos fundamentais como a não discriminação, a equidade, a transversalização e a autonomia. Também se descrevem as articulações entre a igualdade de género e o funcionamento do sistema económico, visibilizando a importância que as contribuições da economia reprodutiva têm para a procura de bem-estar e o funcionamento do sistema económico e social no seu conjunto. O capítulo finaliza com uma definição do que é um </w:t>
      </w:r>
      <w:r w:rsidRPr="006F22AA">
        <w:rPr>
          <w:rFonts w:cstheme="minorHAnsi"/>
        </w:rPr>
        <w:t>plano para a igualdade de género, e qual a sua utilidade no contexto actual de Cabo Verde.</w:t>
      </w:r>
    </w:p>
    <w:p w:rsidR="00E96954" w:rsidRDefault="00E96954" w:rsidP="00E96954">
      <w:pPr>
        <w:pStyle w:val="PargrafodaLista"/>
        <w:spacing w:after="0"/>
        <w:jc w:val="both"/>
        <w:rPr>
          <w:rFonts w:cstheme="minorHAnsi"/>
        </w:rPr>
      </w:pPr>
    </w:p>
    <w:p w:rsidR="00E96954" w:rsidRPr="006F22AA" w:rsidRDefault="00F65FBF" w:rsidP="00F65FBF">
      <w:pPr>
        <w:pStyle w:val="PargrafodaLista"/>
        <w:spacing w:after="0"/>
        <w:jc w:val="both"/>
        <w:rPr>
          <w:rFonts w:cstheme="minorHAnsi"/>
        </w:rPr>
      </w:pPr>
      <w:r w:rsidRPr="006F22AA">
        <w:rPr>
          <w:rFonts w:cstheme="minorHAnsi"/>
          <w:b/>
          <w:i/>
        </w:rPr>
        <w:t>2a Parte - Contexto de Implementação do PNIG</w:t>
      </w:r>
      <w:r w:rsidR="00A64AFA">
        <w:rPr>
          <w:rFonts w:cstheme="minorHAnsi"/>
          <w:b/>
          <w:i/>
        </w:rPr>
        <w:t xml:space="preserve">. </w:t>
      </w:r>
      <w:r w:rsidRPr="00707A44">
        <w:rPr>
          <w:rFonts w:cstheme="minorHAnsi"/>
        </w:rPr>
        <w:t>Numa primeira parte</w:t>
      </w:r>
      <w:r w:rsidRPr="006568A3">
        <w:rPr>
          <w:rFonts w:cstheme="minorHAnsi"/>
        </w:rPr>
        <w:t xml:space="preserve"> se</w:t>
      </w:r>
      <w:r w:rsidRPr="006568A3">
        <w:rPr>
          <w:rFonts w:cstheme="minorHAnsi"/>
          <w:color w:val="FF0000"/>
        </w:rPr>
        <w:t xml:space="preserve"> </w:t>
      </w:r>
      <w:r w:rsidRPr="006568A3">
        <w:rPr>
          <w:rFonts w:cstheme="minorHAnsi"/>
        </w:rPr>
        <w:t>apresenta</w:t>
      </w:r>
      <w:r>
        <w:rPr>
          <w:rFonts w:cstheme="minorHAnsi"/>
        </w:rPr>
        <w:t xml:space="preserve"> </w:t>
      </w:r>
      <w:r>
        <w:t xml:space="preserve">a situaçao das relações de género </w:t>
      </w:r>
      <w:r>
        <w:rPr>
          <w:rFonts w:cstheme="minorHAnsi"/>
        </w:rPr>
        <w:t xml:space="preserve">no </w:t>
      </w:r>
      <w:r w:rsidRPr="00707A44">
        <w:rPr>
          <w:rFonts w:cstheme="minorHAnsi"/>
        </w:rPr>
        <w:t>contexto demográfico, socioeconómico e cultural do país</w:t>
      </w:r>
      <w:r>
        <w:rPr>
          <w:rFonts w:cstheme="minorHAnsi"/>
        </w:rPr>
        <w:t>. S</w:t>
      </w:r>
      <w:r>
        <w:t>eguidamente  se analisa o</w:t>
      </w:r>
      <w:r w:rsidRPr="006568A3">
        <w:t xml:space="preserve"> grau de priorização de género na programação estratégica nacional, incluindo o quadro jurídico e legal e o quadro institucional e político para a igualdade de género em Cabo Verde. Na ultima parte se identificam os principais desafios e problemas com </w:t>
      </w:r>
      <w:r w:rsidRPr="006568A3">
        <w:rPr>
          <w:rFonts w:cstheme="minorHAnsi"/>
        </w:rPr>
        <w:t xml:space="preserve">que as instituições do Estado e as organizações da sociedade civil se deparam </w:t>
      </w:r>
      <w:r w:rsidRPr="006568A3">
        <w:t>para promover a igualdade de género no</w:t>
      </w:r>
      <w:r w:rsidR="006568A3" w:rsidRPr="006568A3">
        <w:t xml:space="preserve"> país </w:t>
      </w:r>
      <w:r w:rsidR="006568A3" w:rsidRPr="006568A3">
        <w:rPr>
          <w:rFonts w:cstheme="minorHAnsi"/>
        </w:rPr>
        <w:t xml:space="preserve">e na implementação de uma abordagem transversal nos diferentes </w:t>
      </w:r>
      <w:r w:rsidR="006568A3" w:rsidRPr="006F22AA">
        <w:rPr>
          <w:rFonts w:cstheme="minorHAnsi"/>
        </w:rPr>
        <w:t xml:space="preserve">sectores que, após ser hierarquizados, serviram de base para a formulação do novo plano. </w:t>
      </w:r>
    </w:p>
    <w:p w:rsidR="00E96954" w:rsidRPr="00C90523" w:rsidRDefault="00E96954" w:rsidP="00E857F4">
      <w:pPr>
        <w:spacing w:after="0"/>
        <w:jc w:val="both"/>
        <w:rPr>
          <w:rFonts w:cstheme="minorHAnsi"/>
          <w:b/>
          <w:i/>
          <w:sz w:val="24"/>
          <w:szCs w:val="24"/>
          <w:highlight w:val="green"/>
        </w:rPr>
      </w:pPr>
    </w:p>
    <w:p w:rsidR="00E96954" w:rsidRPr="00C90523" w:rsidRDefault="006568A3" w:rsidP="00243978">
      <w:pPr>
        <w:pStyle w:val="PargrafodaLista"/>
        <w:numPr>
          <w:ilvl w:val="0"/>
          <w:numId w:val="2"/>
        </w:numPr>
        <w:suppressAutoHyphens/>
        <w:spacing w:after="0"/>
        <w:contextualSpacing w:val="0"/>
        <w:jc w:val="both"/>
        <w:rPr>
          <w:rFonts w:cstheme="minorHAnsi"/>
        </w:rPr>
      </w:pPr>
      <w:r w:rsidRPr="006568A3">
        <w:rPr>
          <w:rFonts w:cstheme="minorHAnsi"/>
          <w:b/>
          <w:i/>
        </w:rPr>
        <w:t>3a Parte - PNIG 2015-2018:</w:t>
      </w:r>
      <w:r w:rsidRPr="006568A3">
        <w:rPr>
          <w:rFonts w:cstheme="minorHAnsi"/>
        </w:rPr>
        <w:t xml:space="preserve"> Contem os elementos que conforma</w:t>
      </w:r>
      <w:r w:rsidR="00C90523">
        <w:rPr>
          <w:rFonts w:cstheme="minorHAnsi"/>
        </w:rPr>
        <w:t>m</w:t>
      </w:r>
      <w:r w:rsidRPr="006568A3">
        <w:rPr>
          <w:rFonts w:cstheme="minorHAnsi"/>
        </w:rPr>
        <w:t xml:space="preserve"> o Plano de Igualdade de G</w:t>
      </w:r>
      <w:r w:rsidR="00C90523">
        <w:rPr>
          <w:rFonts w:cstheme="minorHAnsi"/>
        </w:rPr>
        <w:t>é</w:t>
      </w:r>
      <w:r w:rsidRPr="006568A3">
        <w:rPr>
          <w:rFonts w:cstheme="minorHAnsi"/>
        </w:rPr>
        <w:t>nero 2015-2018, iniciando pela visão, os princípios orientadores, os objectivos e resultados, assim como as medidas estratégias seleccionadas para atingi-los. Se apresentam de seguida os quadros institucionais de intervenção, que incluem a definição dos parceiros responsáveis pela implementação e parceiros envolvidos, assim como as ligações com os principais programas sectoriais existentes. A continuação se descreve a proposta para o seguimento e avaliação do plano, finalizando com um cálculo estimativo dos custos para a implementação do PNIG durante quatro anos.</w:t>
      </w:r>
    </w:p>
    <w:p w:rsidR="000D287C" w:rsidRPr="00C90523" w:rsidRDefault="000D287C" w:rsidP="000D287C">
      <w:pPr>
        <w:spacing w:after="0"/>
        <w:jc w:val="both"/>
        <w:rPr>
          <w:rFonts w:ascii="Arial" w:hAnsi="Arial" w:cs="Arial"/>
          <w:sz w:val="24"/>
          <w:szCs w:val="24"/>
        </w:rPr>
      </w:pPr>
    </w:p>
    <w:p w:rsidR="00CA7D45" w:rsidRPr="00D7119F" w:rsidRDefault="00CA7D45" w:rsidP="00CA7D45">
      <w:pPr>
        <w:spacing w:after="0"/>
        <w:jc w:val="both"/>
        <w:rPr>
          <w:rFonts w:cstheme="minorHAnsi"/>
          <w:lang w:val="pt-BR"/>
        </w:rPr>
      </w:pPr>
      <w:r w:rsidRPr="00D7119F">
        <w:rPr>
          <w:rFonts w:cstheme="minorHAnsi"/>
          <w:lang w:val="pt-BR"/>
        </w:rPr>
        <w:t>Para alem do documento principal, foram elaborados como documentos complementár</w:t>
      </w:r>
      <w:r>
        <w:rPr>
          <w:rFonts w:cstheme="minorHAnsi"/>
          <w:lang w:val="pt-BR"/>
        </w:rPr>
        <w:t>es:</w:t>
      </w:r>
      <w:r w:rsidRPr="00D7119F">
        <w:rPr>
          <w:rStyle w:val="Refdenotaderodap"/>
          <w:rFonts w:cstheme="minorHAnsi"/>
          <w:lang w:val="pt-BR"/>
        </w:rPr>
        <w:footnoteReference w:id="8"/>
      </w:r>
      <w:r w:rsidRPr="00D7119F">
        <w:rPr>
          <w:rFonts w:cstheme="minorHAnsi"/>
          <w:lang w:val="pt-BR"/>
        </w:rPr>
        <w:t xml:space="preserve"> </w:t>
      </w:r>
    </w:p>
    <w:p w:rsidR="00CA7D45" w:rsidRPr="00D7119F" w:rsidRDefault="00CA7D45" w:rsidP="00CA7D45">
      <w:pPr>
        <w:pStyle w:val="PargrafodaLista"/>
        <w:numPr>
          <w:ilvl w:val="0"/>
          <w:numId w:val="32"/>
        </w:numPr>
        <w:spacing w:after="0"/>
        <w:jc w:val="both"/>
        <w:rPr>
          <w:rFonts w:cstheme="minorHAnsi"/>
          <w:lang w:val="pt-BR"/>
        </w:rPr>
      </w:pPr>
      <w:r w:rsidRPr="00D7119F">
        <w:rPr>
          <w:rFonts w:cstheme="minorHAnsi"/>
          <w:lang w:val="pt-BR"/>
        </w:rPr>
        <w:t>Quadros opera</w:t>
      </w:r>
      <w:r>
        <w:rPr>
          <w:rFonts w:cstheme="minorHAnsi"/>
          <w:lang w:val="pt-BR"/>
        </w:rPr>
        <w:t>cionais</w:t>
      </w:r>
      <w:r w:rsidRPr="00D7119F">
        <w:rPr>
          <w:rFonts w:cstheme="minorHAnsi"/>
          <w:lang w:val="pt-BR"/>
        </w:rPr>
        <w:t xml:space="preserve"> por cada um dos sectores responsáveis pela implementação do PNIG, </w:t>
      </w:r>
      <w:r>
        <w:rPr>
          <w:rFonts w:cstheme="minorHAnsi"/>
          <w:lang w:val="pt-BR"/>
        </w:rPr>
        <w:t xml:space="preserve">contendo </w:t>
      </w:r>
      <w:r w:rsidRPr="00D7119F">
        <w:rPr>
          <w:rFonts w:cstheme="minorHAnsi"/>
          <w:lang w:val="pt-BR"/>
        </w:rPr>
        <w:t xml:space="preserve">resultados, indicadores, medidas estratégicas, </w:t>
      </w:r>
      <w:r>
        <w:rPr>
          <w:rFonts w:cstheme="minorHAnsi"/>
          <w:lang w:val="pt-BR"/>
        </w:rPr>
        <w:t>t</w:t>
      </w:r>
      <w:r w:rsidRPr="00D7119F">
        <w:rPr>
          <w:rFonts w:cstheme="minorHAnsi"/>
          <w:lang w:val="pt-BR"/>
        </w:rPr>
        <w:t>empo de execução, entidade responsável, entidades envolvidas</w:t>
      </w:r>
      <w:r>
        <w:rPr>
          <w:rFonts w:cstheme="minorHAnsi"/>
          <w:lang w:val="pt-BR"/>
        </w:rPr>
        <w:t>,</w:t>
      </w:r>
      <w:r w:rsidRPr="00D7119F">
        <w:rPr>
          <w:rFonts w:cstheme="minorHAnsi"/>
          <w:lang w:val="pt-BR"/>
        </w:rPr>
        <w:t xml:space="preserve"> ligações com programas sectoriais existentes, ligações com o DECRP III, </w:t>
      </w:r>
      <w:r>
        <w:rPr>
          <w:rFonts w:cstheme="minorHAnsi"/>
          <w:lang w:val="pt-BR"/>
        </w:rPr>
        <w:t>estimativa o</w:t>
      </w:r>
      <w:r w:rsidRPr="00D7119F">
        <w:rPr>
          <w:rFonts w:cstheme="minorHAnsi"/>
          <w:lang w:val="pt-BR"/>
        </w:rPr>
        <w:t>rçament</w:t>
      </w:r>
      <w:r>
        <w:rPr>
          <w:rFonts w:cstheme="minorHAnsi"/>
          <w:lang w:val="pt-BR"/>
        </w:rPr>
        <w:t>al</w:t>
      </w:r>
      <w:r w:rsidRPr="00D7119F">
        <w:rPr>
          <w:rFonts w:cstheme="minorHAnsi"/>
          <w:lang w:val="pt-BR"/>
        </w:rPr>
        <w:t xml:space="preserve"> (em ECV) para o período 2015-2018</w:t>
      </w:r>
      <w:r>
        <w:rPr>
          <w:rFonts w:cstheme="minorHAnsi"/>
          <w:lang w:val="pt-BR"/>
        </w:rPr>
        <w:t>.</w:t>
      </w:r>
    </w:p>
    <w:p w:rsidR="00CA7D45" w:rsidRDefault="00CA7D45" w:rsidP="00CA7D45">
      <w:pPr>
        <w:pStyle w:val="PargrafodaLista"/>
        <w:numPr>
          <w:ilvl w:val="0"/>
          <w:numId w:val="32"/>
        </w:numPr>
        <w:spacing w:after="0"/>
        <w:jc w:val="both"/>
        <w:rPr>
          <w:rFonts w:cstheme="minorHAnsi"/>
          <w:lang w:val="pt-BR"/>
        </w:rPr>
      </w:pPr>
      <w:r w:rsidRPr="00506A01">
        <w:rPr>
          <w:rFonts w:cstheme="minorHAnsi"/>
          <w:lang w:val="pt-BR"/>
        </w:rPr>
        <w:t xml:space="preserve">Relatórios </w:t>
      </w:r>
      <w:r>
        <w:rPr>
          <w:rFonts w:cstheme="minorHAnsi"/>
          <w:lang w:val="pt-BR"/>
        </w:rPr>
        <w:t xml:space="preserve">semestrais de avanço </w:t>
      </w:r>
      <w:r w:rsidRPr="00506A01">
        <w:rPr>
          <w:rFonts w:cstheme="minorHAnsi"/>
          <w:lang w:val="pt-BR"/>
        </w:rPr>
        <w:t>para cada uma das instituições</w:t>
      </w:r>
      <w:r>
        <w:rPr>
          <w:rFonts w:cstheme="minorHAnsi"/>
          <w:lang w:val="pt-BR"/>
        </w:rPr>
        <w:t>.</w:t>
      </w:r>
    </w:p>
    <w:p w:rsidR="00CA7D45" w:rsidRPr="00506A01" w:rsidRDefault="00CA7D45" w:rsidP="00CA7D45">
      <w:pPr>
        <w:pStyle w:val="PargrafodaLista"/>
        <w:numPr>
          <w:ilvl w:val="0"/>
          <w:numId w:val="32"/>
        </w:numPr>
        <w:spacing w:after="0"/>
        <w:jc w:val="both"/>
        <w:rPr>
          <w:rFonts w:cstheme="minorHAnsi"/>
          <w:lang w:val="pt-BR"/>
        </w:rPr>
      </w:pPr>
      <w:r w:rsidRPr="00506A01">
        <w:rPr>
          <w:rFonts w:cstheme="minorHAnsi"/>
          <w:lang w:val="pt-BR"/>
        </w:rPr>
        <w:t>Detalhe da estimativa orçamental com dados de custos unitários e montantes anuais.</w:t>
      </w:r>
    </w:p>
    <w:p w:rsidR="00CA7D45" w:rsidRPr="00D7119F" w:rsidRDefault="00CA7D45" w:rsidP="00CA7D45">
      <w:pPr>
        <w:pStyle w:val="PargrafodaLista"/>
        <w:numPr>
          <w:ilvl w:val="0"/>
          <w:numId w:val="32"/>
        </w:numPr>
        <w:spacing w:after="0"/>
        <w:jc w:val="both"/>
        <w:rPr>
          <w:rFonts w:cstheme="minorHAnsi"/>
          <w:lang w:val="pt-BR"/>
        </w:rPr>
      </w:pPr>
      <w:r w:rsidRPr="00D7119F">
        <w:rPr>
          <w:rFonts w:cstheme="minorHAnsi"/>
          <w:lang w:val="pt-BR"/>
        </w:rPr>
        <w:t xml:space="preserve">Quadro de Recursos Humanos para a coordenação, acompanhamento e assistências técnicas </w:t>
      </w:r>
      <w:r>
        <w:rPr>
          <w:rFonts w:cstheme="minorHAnsi"/>
          <w:lang w:val="pt-BR"/>
        </w:rPr>
        <w:t>necessárias</w:t>
      </w:r>
      <w:r w:rsidRPr="00D7119F">
        <w:rPr>
          <w:rFonts w:cstheme="minorHAnsi"/>
          <w:lang w:val="pt-BR"/>
        </w:rPr>
        <w:t xml:space="preserve"> para a implementação do PNIG</w:t>
      </w:r>
      <w:r>
        <w:rPr>
          <w:rFonts w:cstheme="minorHAnsi"/>
          <w:lang w:val="pt-BR"/>
        </w:rPr>
        <w:t>.</w:t>
      </w:r>
    </w:p>
    <w:p w:rsidR="005B1334" w:rsidRPr="00D7119F" w:rsidRDefault="005B1334" w:rsidP="000D287C">
      <w:pPr>
        <w:spacing w:after="0"/>
        <w:jc w:val="both"/>
        <w:rPr>
          <w:rFonts w:cstheme="minorHAnsi"/>
          <w:lang w:val="pt-BR"/>
        </w:rPr>
      </w:pPr>
    </w:p>
    <w:p w:rsidR="000D287C" w:rsidRPr="00C90523" w:rsidRDefault="000D287C" w:rsidP="000D287C">
      <w:pPr>
        <w:spacing w:after="0"/>
        <w:jc w:val="both"/>
        <w:rPr>
          <w:rFonts w:cstheme="minorHAnsi"/>
        </w:rPr>
      </w:pPr>
      <w:r w:rsidRPr="00C90523">
        <w:rPr>
          <w:rFonts w:cstheme="minorHAnsi"/>
        </w:rPr>
        <w:t xml:space="preserve">O PNIG é um instrumento de planificação formulado participativamente e traçado com base na realidade do país, </w:t>
      </w:r>
      <w:r w:rsidRPr="00861276">
        <w:rPr>
          <w:rFonts w:cs="Arial"/>
        </w:rPr>
        <w:t>numa lógica transversal e interdisciplinar de estabelecimento de parcerias, que apoiará os esforços conjunto de todos os actores sociais públicos e privados, com vista a contribuir para o alcance dos objectivos de desenvolvimento do</w:t>
      </w:r>
      <w:r w:rsidRPr="00C90523">
        <w:rPr>
          <w:rFonts w:cs="Arial"/>
        </w:rPr>
        <w:t xml:space="preserve"> país. </w:t>
      </w:r>
      <w:r w:rsidRPr="00C90523">
        <w:rPr>
          <w:rFonts w:cstheme="minorHAnsi"/>
        </w:rPr>
        <w:t xml:space="preserve">O PNIG assenta num compromisso político, técnico e de cidadania com a promoção da igualdade e equidade de género e na defesa dos direitos humanos e da dignidade dos homens e mulheres em Cabo Verde, reconhecido como o único caminho para alcançar o verdadeiro desenvolvimento do país: a procura do bem-estar do conjunto da população para viver uma vida digna de ser vivida. </w:t>
      </w:r>
    </w:p>
    <w:p w:rsidR="00F65FBF" w:rsidRDefault="00F65FBF">
      <w:pPr>
        <w:rPr>
          <w:rFonts w:asciiTheme="majorHAnsi" w:eastAsiaTheme="majorEastAsia" w:hAnsiTheme="majorHAnsi" w:cstheme="majorBidi"/>
          <w:b/>
          <w:bCs/>
          <w:color w:val="365F91" w:themeColor="accent1" w:themeShade="BF"/>
          <w:sz w:val="28"/>
          <w:szCs w:val="28"/>
        </w:rPr>
      </w:pPr>
      <w:r>
        <w:br w:type="page"/>
      </w:r>
    </w:p>
    <w:p w:rsidR="005745A2" w:rsidRPr="00C90523" w:rsidRDefault="006568A3" w:rsidP="001B7BB0">
      <w:pPr>
        <w:pStyle w:val="Cabealho1"/>
      </w:pPr>
      <w:bookmarkStart w:id="4" w:name="_Toc406667259"/>
      <w:r w:rsidRPr="006568A3">
        <w:t>2. QUADRO CONCEPTUAL RELATIVO À IGUALDADE DE GÉNERO</w:t>
      </w:r>
      <w:bookmarkEnd w:id="4"/>
    </w:p>
    <w:p w:rsidR="001265F0" w:rsidRPr="00C90523" w:rsidRDefault="006568A3" w:rsidP="001265F0">
      <w:pPr>
        <w:pStyle w:val="Cabealho2"/>
      </w:pPr>
      <w:bookmarkStart w:id="5" w:name="_Toc406667260"/>
      <w:r w:rsidRPr="006568A3">
        <w:t>2.1. ELEMENTOS CONCEPTUAIS LIGADOS À IGUALDADE DE GÉNERO</w:t>
      </w:r>
      <w:bookmarkEnd w:id="5"/>
      <w:r w:rsidRPr="006568A3">
        <w:t xml:space="preserve"> </w:t>
      </w:r>
    </w:p>
    <w:p w:rsidR="0021054F" w:rsidRPr="00C90523" w:rsidRDefault="0021054F" w:rsidP="002D786A">
      <w:pPr>
        <w:autoSpaceDE w:val="0"/>
        <w:autoSpaceDN w:val="0"/>
        <w:adjustRightInd w:val="0"/>
        <w:spacing w:after="0"/>
        <w:jc w:val="both"/>
        <w:rPr>
          <w:rFonts w:cs="Arial"/>
        </w:rPr>
      </w:pPr>
    </w:p>
    <w:p w:rsidR="002D786A" w:rsidRPr="00C90523" w:rsidRDefault="006568A3" w:rsidP="002D786A">
      <w:pPr>
        <w:autoSpaceDE w:val="0"/>
        <w:autoSpaceDN w:val="0"/>
        <w:adjustRightInd w:val="0"/>
        <w:spacing w:after="0"/>
        <w:jc w:val="both"/>
        <w:rPr>
          <w:rFonts w:cs="Arial"/>
        </w:rPr>
      </w:pPr>
      <w:r w:rsidRPr="006568A3">
        <w:rPr>
          <w:rFonts w:cs="Arial"/>
        </w:rPr>
        <w:t>A igualdade de género é um princípio universal de direito e um compromisso de dimensão global reconhecido nos principais instrumentos internacionais sobre direitos humanos</w:t>
      </w:r>
      <w:r w:rsidR="00C90523">
        <w:rPr>
          <w:rFonts w:cs="Arial"/>
        </w:rPr>
        <w:t>,</w:t>
      </w:r>
      <w:r w:rsidRPr="006568A3">
        <w:rPr>
          <w:rFonts w:cs="Arial"/>
        </w:rPr>
        <w:t xml:space="preserve"> formulado sobre a base de q</w:t>
      </w:r>
      <w:r w:rsidR="002D786A" w:rsidRPr="00C90523">
        <w:t>ue todos os seres humanos nascem livres e iguais em dignidade e direitos</w:t>
      </w:r>
      <w:r w:rsidRPr="006568A3">
        <w:t>. Este princ</w:t>
      </w:r>
      <w:r w:rsidR="00C90523">
        <w:t>í</w:t>
      </w:r>
      <w:r w:rsidRPr="006568A3">
        <w:t xml:space="preserve">pio </w:t>
      </w:r>
      <w:r w:rsidRPr="006568A3">
        <w:rPr>
          <w:rFonts w:cs="Arial"/>
        </w:rPr>
        <w:t>e aplicável tanto aos Estados a respeito dos seus habitantes, como nas relações internacionais.</w:t>
      </w:r>
    </w:p>
    <w:p w:rsidR="002D786A" w:rsidRPr="00C90523" w:rsidRDefault="002D786A" w:rsidP="002D786A">
      <w:pPr>
        <w:autoSpaceDE w:val="0"/>
        <w:autoSpaceDN w:val="0"/>
        <w:adjustRightInd w:val="0"/>
        <w:spacing w:after="0"/>
        <w:jc w:val="both"/>
        <w:rPr>
          <w:rFonts w:cs="Arial"/>
          <w:color w:val="00B050"/>
        </w:rPr>
      </w:pPr>
    </w:p>
    <w:p w:rsidR="002D786A" w:rsidRPr="00C90523" w:rsidRDefault="006568A3" w:rsidP="002D786A">
      <w:pPr>
        <w:autoSpaceDE w:val="0"/>
        <w:autoSpaceDN w:val="0"/>
        <w:adjustRightInd w:val="0"/>
        <w:spacing w:after="0"/>
        <w:jc w:val="both"/>
        <w:rPr>
          <w:rFonts w:cs="Arial"/>
        </w:rPr>
      </w:pPr>
      <w:r w:rsidRPr="006568A3">
        <w:rPr>
          <w:rFonts w:cs="Arial"/>
        </w:rPr>
        <w:t>A igualdade de género é também uma questão fundamental do desenvolvimento económico e social e da construção da democracia em termos políticos, sociais e económicos. Como estabelecido pela</w:t>
      </w:r>
      <w:r w:rsidRPr="006568A3">
        <w:rPr>
          <w:rFonts w:cs="Arial"/>
          <w:color w:val="00B050"/>
          <w:sz w:val="16"/>
          <w:szCs w:val="16"/>
        </w:rPr>
        <w:t xml:space="preserve"> </w:t>
      </w:r>
      <w:r w:rsidRPr="006568A3">
        <w:rPr>
          <w:rFonts w:cs="Arial"/>
        </w:rPr>
        <w:t>Declaração e Plataforma de Ação de Beijing no seu parágrafo 13, o empoderamento da mulher e sua plena participação, em base de igualdade, em todos os campos sociais, incluindo a participação no processo decisório e o acesso ao poder, são fundamentais para o desenvolvimento.</w:t>
      </w:r>
      <w:r w:rsidRPr="006568A3">
        <w:rPr>
          <w:rFonts w:cs="Arial"/>
          <w:color w:val="00B050"/>
          <w:sz w:val="16"/>
          <w:szCs w:val="16"/>
        </w:rPr>
        <w:t xml:space="preserve"> </w:t>
      </w:r>
      <w:r w:rsidRPr="006568A3">
        <w:rPr>
          <w:rFonts w:cs="Arial"/>
        </w:rPr>
        <w:t>Atualmente, o desenvolvimento humano só pode ser compreendido com referência ao respeito dos direitos humanos das mulheres e homens à educação, saúde, habitação, emprego, igualdade perante a lei, ao respeito pela sua integridade física, à liberdade de expressão, movimento e participação política, entre outros.</w:t>
      </w:r>
    </w:p>
    <w:p w:rsidR="002D786A" w:rsidRPr="00C90523" w:rsidRDefault="002D786A" w:rsidP="002D786A">
      <w:pPr>
        <w:autoSpaceDE w:val="0"/>
        <w:autoSpaceDN w:val="0"/>
        <w:adjustRightInd w:val="0"/>
        <w:spacing w:after="0"/>
        <w:jc w:val="both"/>
        <w:rPr>
          <w:rFonts w:cs="Arial"/>
        </w:rPr>
      </w:pPr>
    </w:p>
    <w:p w:rsidR="002D786A" w:rsidRPr="00C90523" w:rsidRDefault="006568A3" w:rsidP="002D786A">
      <w:pPr>
        <w:autoSpaceDE w:val="0"/>
        <w:autoSpaceDN w:val="0"/>
        <w:adjustRightInd w:val="0"/>
        <w:spacing w:after="0"/>
        <w:jc w:val="both"/>
        <w:rPr>
          <w:rFonts w:cs="Arial"/>
        </w:rPr>
      </w:pPr>
      <w:r w:rsidRPr="006568A3">
        <w:rPr>
          <w:rFonts w:cs="Arial"/>
        </w:rPr>
        <w:t>Para uma boa compreensão do princípio da igualdade é importante ter em conta a natureza multifacetada e os diferentes significados que foram articulados em torno do conceito tal como:</w:t>
      </w:r>
    </w:p>
    <w:p w:rsidR="002D786A" w:rsidRPr="00C90523" w:rsidRDefault="002D786A" w:rsidP="002D786A">
      <w:pPr>
        <w:autoSpaceDE w:val="0"/>
        <w:autoSpaceDN w:val="0"/>
        <w:adjustRightInd w:val="0"/>
        <w:spacing w:after="0"/>
        <w:jc w:val="both"/>
        <w:rPr>
          <w:rFonts w:cs="Arial"/>
        </w:rPr>
      </w:pPr>
    </w:p>
    <w:p w:rsidR="002D786A" w:rsidRPr="00C90523" w:rsidRDefault="006568A3" w:rsidP="00243978">
      <w:pPr>
        <w:pStyle w:val="PargrafodaLista"/>
        <w:numPr>
          <w:ilvl w:val="0"/>
          <w:numId w:val="4"/>
        </w:numPr>
        <w:autoSpaceDE w:val="0"/>
        <w:autoSpaceDN w:val="0"/>
        <w:adjustRightInd w:val="0"/>
        <w:spacing w:after="0"/>
        <w:jc w:val="both"/>
        <w:rPr>
          <w:rFonts w:cs="Arial"/>
        </w:rPr>
      </w:pPr>
      <w:r w:rsidRPr="006568A3">
        <w:rPr>
          <w:rFonts w:cs="Arial"/>
          <w:b/>
        </w:rPr>
        <w:t>A igualdade como um reflexo da equivalência humana.</w:t>
      </w:r>
      <w:r w:rsidRPr="006568A3">
        <w:rPr>
          <w:rFonts w:cs="Arial"/>
        </w:rPr>
        <w:t xml:space="preserve"> Mulheres e homens são iguais no sentido de que são humanamente equivalentes, ou seja, de igual valor humano. O ser humano não admite classificações avaliativas hierárquicas entre as pessoas. Não há pessoas que sejam mais ou menos humanas que outras ou que sejam melhores ou piores humanas ou humanos.</w:t>
      </w:r>
    </w:p>
    <w:p w:rsidR="002D786A" w:rsidRPr="00C90523" w:rsidRDefault="002D786A" w:rsidP="002D786A">
      <w:pPr>
        <w:pStyle w:val="PargrafodaLista"/>
        <w:autoSpaceDE w:val="0"/>
        <w:autoSpaceDN w:val="0"/>
        <w:adjustRightInd w:val="0"/>
        <w:spacing w:after="0"/>
        <w:ind w:left="644"/>
        <w:jc w:val="both"/>
        <w:rPr>
          <w:rFonts w:cs="Arial"/>
        </w:rPr>
      </w:pPr>
    </w:p>
    <w:p w:rsidR="002D786A" w:rsidRPr="00C90523" w:rsidRDefault="006568A3" w:rsidP="00243978">
      <w:pPr>
        <w:pStyle w:val="PargrafodaLista"/>
        <w:numPr>
          <w:ilvl w:val="0"/>
          <w:numId w:val="4"/>
        </w:numPr>
        <w:autoSpaceDE w:val="0"/>
        <w:autoSpaceDN w:val="0"/>
        <w:adjustRightInd w:val="0"/>
        <w:spacing w:after="0"/>
        <w:jc w:val="both"/>
        <w:rPr>
          <w:rFonts w:cs="Arial"/>
        </w:rPr>
      </w:pPr>
      <w:r w:rsidRPr="006568A3">
        <w:rPr>
          <w:rFonts w:cs="Arial"/>
          <w:b/>
        </w:rPr>
        <w:t>A igualdade de direitos e de tratamento legal</w:t>
      </w:r>
      <w:r w:rsidRPr="006568A3">
        <w:rPr>
          <w:rFonts w:cs="Arial"/>
        </w:rPr>
        <w:t xml:space="preserve">. Com base na equivalência humana acima mencionada, homens e mulheres devem ter direitos iguais consagrados na lei, bem como igual proteção e igualdade de tratamento e respeito perante a lei. </w:t>
      </w:r>
    </w:p>
    <w:p w:rsidR="002D786A" w:rsidRPr="00C90523" w:rsidRDefault="002D786A" w:rsidP="002D786A">
      <w:pPr>
        <w:pStyle w:val="PargrafodaLista"/>
        <w:autoSpaceDE w:val="0"/>
        <w:autoSpaceDN w:val="0"/>
        <w:adjustRightInd w:val="0"/>
        <w:spacing w:after="0"/>
        <w:ind w:left="644"/>
        <w:jc w:val="both"/>
        <w:rPr>
          <w:rFonts w:cs="Arial"/>
        </w:rPr>
      </w:pPr>
    </w:p>
    <w:p w:rsidR="002D786A" w:rsidRPr="00C90523" w:rsidRDefault="006568A3" w:rsidP="00243978">
      <w:pPr>
        <w:pStyle w:val="PargrafodaLista"/>
        <w:numPr>
          <w:ilvl w:val="0"/>
          <w:numId w:val="4"/>
        </w:numPr>
        <w:autoSpaceDE w:val="0"/>
        <w:autoSpaceDN w:val="0"/>
        <w:adjustRightInd w:val="0"/>
        <w:spacing w:after="0"/>
        <w:jc w:val="both"/>
        <w:rPr>
          <w:rFonts w:cs="Arial"/>
        </w:rPr>
      </w:pPr>
      <w:r w:rsidRPr="006568A3">
        <w:rPr>
          <w:rFonts w:cs="Arial"/>
          <w:b/>
        </w:rPr>
        <w:t>A igualdade na diferença.</w:t>
      </w:r>
      <w:r w:rsidRPr="006568A3">
        <w:rPr>
          <w:rFonts w:cs="Arial"/>
        </w:rPr>
        <w:t xml:space="preserve"> As diferenças dizem respeito à diversidade nas características que fazem identidades pessoais: o género, a etnia, a nacionalidade, a língua, a religião, as opiniões políticas, e devem ser entendidas como distinta das desigualdades, apontando para a diversidade de condições económicas e materiais em que as pessoas vivem. Portanto, a diferença não pode ser entendida de forma alguma como um conceito em oposição à igualdade. A aceitação do princípio da diversidade e da diferença tem a ver com a equivalência jurídica das diferenças. A igualdade na diferença tem como propósito proteger as diferenças de identidade, valorizá-las e tutelá-las e ao mesmo tempo reduzir ou eliminar as desigualdades.</w:t>
      </w:r>
      <w:r w:rsidR="002D786A" w:rsidRPr="00C90523">
        <w:rPr>
          <w:rStyle w:val="Refdenotaderodap"/>
          <w:sz w:val="18"/>
          <w:szCs w:val="18"/>
        </w:rPr>
        <w:footnoteReference w:id="9"/>
      </w:r>
      <w:r w:rsidRPr="006568A3">
        <w:rPr>
          <w:rStyle w:val="Refdenotaderodap"/>
          <w:sz w:val="18"/>
          <w:szCs w:val="18"/>
        </w:rPr>
        <w:t>.</w:t>
      </w:r>
    </w:p>
    <w:p w:rsidR="002D786A" w:rsidRPr="00C90523" w:rsidRDefault="002D786A" w:rsidP="002D786A">
      <w:pPr>
        <w:autoSpaceDE w:val="0"/>
        <w:autoSpaceDN w:val="0"/>
        <w:adjustRightInd w:val="0"/>
        <w:spacing w:after="0"/>
        <w:rPr>
          <w:rFonts w:ascii="Arial" w:hAnsi="Arial" w:cs="Arial"/>
          <w:b/>
          <w:i/>
          <w:u w:val="single"/>
        </w:rPr>
      </w:pPr>
    </w:p>
    <w:p w:rsidR="002D786A" w:rsidRPr="00C90523" w:rsidRDefault="006568A3" w:rsidP="00E857F4">
      <w:pPr>
        <w:pStyle w:val="Cabealho3"/>
      </w:pPr>
      <w:bookmarkStart w:id="6" w:name="_Toc406667261"/>
      <w:r w:rsidRPr="006568A3">
        <w:t>2.1.1. Igualdade e não discriminação</w:t>
      </w:r>
      <w:bookmarkEnd w:id="6"/>
    </w:p>
    <w:p w:rsidR="002D786A" w:rsidRPr="00C90523" w:rsidRDefault="002D786A" w:rsidP="002D786A">
      <w:pPr>
        <w:autoSpaceDE w:val="0"/>
        <w:autoSpaceDN w:val="0"/>
        <w:adjustRightInd w:val="0"/>
        <w:spacing w:after="0"/>
        <w:rPr>
          <w:rFonts w:ascii="Arial" w:hAnsi="Arial" w:cs="Arial"/>
          <w:b/>
          <w:i/>
          <w:u w:val="single"/>
        </w:rPr>
      </w:pPr>
    </w:p>
    <w:p w:rsidR="002D786A" w:rsidRPr="00C90523" w:rsidRDefault="006568A3" w:rsidP="002D786A">
      <w:pPr>
        <w:autoSpaceDE w:val="0"/>
        <w:autoSpaceDN w:val="0"/>
        <w:adjustRightInd w:val="0"/>
        <w:spacing w:after="0"/>
        <w:jc w:val="both"/>
        <w:rPr>
          <w:rFonts w:cs="TimesNewRomanPSMT"/>
        </w:rPr>
      </w:pPr>
      <w:r w:rsidRPr="006568A3">
        <w:rPr>
          <w:rFonts w:cs="TimesNewRomanPSMT"/>
        </w:rPr>
        <w:t>A não discriminação é política e juridicamente um princípio complementar ao da igualdade, mas não equivalente. A Convenção para a Eliminação de todas as Formas de Discriminação contra as mulheres (CEDAW) define no seu primeiro artigo, a expressão “discriminação contra as mulheres” como “toda a distinção, exclusão ou restrição baseada no sexo e que tenha por objeto ou resultado prejudicar ou anular o reconhecimento, gozo ou exercício pela mulher, independentemente de seu estado civil, com base na igualdade do homem e da mulher, dos direitos humanos e liberdades fundamentais nos campos político, económico, social, cultural e civil ou em qualquer outro campo”.</w:t>
      </w:r>
      <w:r w:rsidR="002D786A" w:rsidRPr="00C90523">
        <w:rPr>
          <w:rStyle w:val="Refdenotaderodap"/>
        </w:rPr>
        <w:footnoteReference w:id="10"/>
      </w:r>
    </w:p>
    <w:p w:rsidR="002D786A" w:rsidRPr="00C90523" w:rsidRDefault="002D786A" w:rsidP="002D786A">
      <w:pPr>
        <w:autoSpaceDE w:val="0"/>
        <w:autoSpaceDN w:val="0"/>
        <w:adjustRightInd w:val="0"/>
        <w:spacing w:after="0"/>
        <w:jc w:val="both"/>
        <w:rPr>
          <w:rFonts w:cs="TimesNewRomanPSMT"/>
          <w:color w:val="00B050"/>
        </w:rPr>
      </w:pPr>
    </w:p>
    <w:p w:rsidR="0021054F" w:rsidRPr="00C90523" w:rsidRDefault="006568A3" w:rsidP="002D786A">
      <w:pPr>
        <w:autoSpaceDE w:val="0"/>
        <w:autoSpaceDN w:val="0"/>
        <w:adjustRightInd w:val="0"/>
        <w:spacing w:after="0"/>
        <w:jc w:val="both"/>
        <w:rPr>
          <w:rFonts w:cs="TrebuchetMS"/>
        </w:rPr>
      </w:pPr>
      <w:r w:rsidRPr="006568A3">
        <w:rPr>
          <w:rFonts w:cs="TrebuchetMS"/>
        </w:rPr>
        <w:t xml:space="preserve">Os princípios da igualdade e da não discriminação perante a lei são princípios básicos e gerais do direito internacional em matéria de proteção dos Direitos Humanos. Conforme estipulado no artigo 1 da Declaração Universal dos Direitos Humanos: "Todos os seres humanos nascem livres e iguais em dignidade e direitos." A igualdade e a não discriminação também são princípios que se complementam no seu significado sendo ambos necessários. Portanto, na maioria dos casos, a declaração da igualdade é estabelecida em conjunto com a proibição da discriminação com base em critérios tais como o sexo, a raça, etc.  </w:t>
      </w:r>
    </w:p>
    <w:p w:rsidR="0021054F" w:rsidRPr="00C90523" w:rsidRDefault="0021054F" w:rsidP="002D786A">
      <w:pPr>
        <w:autoSpaceDE w:val="0"/>
        <w:autoSpaceDN w:val="0"/>
        <w:adjustRightInd w:val="0"/>
        <w:spacing w:after="0"/>
        <w:jc w:val="both"/>
        <w:rPr>
          <w:rFonts w:cs="TrebuchetMS"/>
        </w:rPr>
      </w:pPr>
    </w:p>
    <w:p w:rsidR="002D786A" w:rsidRPr="00C90523" w:rsidRDefault="008375FD" w:rsidP="002D786A">
      <w:pPr>
        <w:autoSpaceDE w:val="0"/>
        <w:autoSpaceDN w:val="0"/>
        <w:adjustRightInd w:val="0"/>
        <w:spacing w:after="0"/>
        <w:jc w:val="both"/>
        <w:rPr>
          <w:rFonts w:cs="TrebuchetMS"/>
        </w:rPr>
      </w:pPr>
      <w:r>
        <w:rPr>
          <w:rFonts w:cs="TrebuchetMS"/>
          <w:noProof/>
        </w:rPr>
        <mc:AlternateContent>
          <mc:Choice Requires="wps">
            <w:drawing>
              <wp:inline distT="0" distB="0" distL="0" distR="0">
                <wp:extent cx="5624830" cy="3386455"/>
                <wp:effectExtent l="19050" t="19050" r="33020" b="52070"/>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3386455"/>
                        </a:xfrm>
                        <a:prstGeom prst="rect">
                          <a:avLst/>
                        </a:prstGeom>
                        <a:solidFill>
                          <a:schemeClr val="accent1">
                            <a:lumMod val="40000"/>
                            <a:lumOff val="60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8A7270" w:rsidRPr="00720025" w:rsidRDefault="008A7270" w:rsidP="0021054F">
                            <w:pPr>
                              <w:autoSpaceDE w:val="0"/>
                              <w:autoSpaceDN w:val="0"/>
                              <w:adjustRightInd w:val="0"/>
                              <w:spacing w:after="0" w:line="240" w:lineRule="auto"/>
                              <w:jc w:val="center"/>
                              <w:rPr>
                                <w:rFonts w:cs="Times-Roman"/>
                                <w:b/>
                                <w:color w:val="548DD4" w:themeColor="text2" w:themeTint="99"/>
                                <w:sz w:val="20"/>
                                <w:szCs w:val="20"/>
                                <w:lang w:val="pt-BR"/>
                              </w:rPr>
                            </w:pPr>
                            <w:r w:rsidRPr="00720025">
                              <w:rPr>
                                <w:rFonts w:cs="Times-Roman"/>
                                <w:b/>
                                <w:color w:val="548DD4" w:themeColor="text2" w:themeTint="99"/>
                                <w:sz w:val="20"/>
                                <w:szCs w:val="20"/>
                                <w:lang w:val="pt-BR"/>
                              </w:rPr>
                              <w:t>COMPROMISSOS DOS ESTADOS PARA A ELIMINAÇÃO DA DISCRIMINAÇÃO CONTRA A MULHER</w:t>
                            </w:r>
                          </w:p>
                          <w:p w:rsidR="008A7270" w:rsidRDefault="008A7270" w:rsidP="0021054F">
                            <w:pPr>
                              <w:autoSpaceDE w:val="0"/>
                              <w:autoSpaceDN w:val="0"/>
                              <w:adjustRightInd w:val="0"/>
                              <w:spacing w:after="0" w:line="240" w:lineRule="auto"/>
                              <w:jc w:val="both"/>
                              <w:rPr>
                                <w:rFonts w:cs="Times-Roman"/>
                                <w:sz w:val="20"/>
                                <w:szCs w:val="20"/>
                                <w:lang w:val="pt-BR"/>
                              </w:rPr>
                            </w:pPr>
                          </w:p>
                          <w:p w:rsidR="008A7270" w:rsidRPr="00524A96" w:rsidRDefault="008A7270" w:rsidP="0021054F">
                            <w:pPr>
                              <w:autoSpaceDE w:val="0"/>
                              <w:autoSpaceDN w:val="0"/>
                              <w:adjustRightInd w:val="0"/>
                              <w:spacing w:after="0" w:line="240" w:lineRule="auto"/>
                              <w:jc w:val="both"/>
                              <w:rPr>
                                <w:rFonts w:cs="Times-Roman"/>
                                <w:sz w:val="20"/>
                                <w:szCs w:val="20"/>
                                <w:lang w:val="pt-BR"/>
                              </w:rPr>
                            </w:pPr>
                            <w:r w:rsidRPr="00524A96">
                              <w:rPr>
                                <w:rFonts w:cs="Times-Roman"/>
                                <w:sz w:val="20"/>
                                <w:szCs w:val="20"/>
                                <w:lang w:val="pt-BR"/>
                              </w:rPr>
                              <w:t>Os Estados-Partes condenam a discriminação contra a mulher em todas as suas formas, concordam em seguir, por todos os meios apropriados e sem dilações, uma política destinada a eliminar a discriminação contra a mulher, e com tal objetivo se comprometem a:</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 xml:space="preserve">consagrar, se ainda não o tiverem feito, em suas constituições nacionais ou em outra legislação apropriada, o princípio da igualdade do homem e da mulher e assegurar por lei outros meios apropriados à realização prática desse princípio; </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adotar medidas adequadas, legislativas e de outro caráter, com as sanções cabíveis e que proíbam toda discriminação contra a mulher;</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estabelecer a proteção jurídica dos direitos da mulher numa base de igualdade com os do homem e garantir, por meio dos tribunais nacionais competentes e de outras instituições públicas, a proteção efetiva da mulher contra todo ato de discriminação;</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abster-se de incorrer em todo ato ou prática de discriminação contra a mulher e zelar para que as autoridades e instituições públicas atuem em conformidade com esta obrigação;</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 xml:space="preserve">tomar as medidas apropriadas para eliminar a discriminação contra a mulher praticada por qualquer pessoa, organização ou empresa; </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adotar todas as medidas adequadas, inclusive de caráter legislativo, para modificar ou derrogar leis, regulamentos, usos e práticas que constituam discriminação contra a mulher;</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derrogar todas as disposições penais nacionais que constituam discriminação contra a mulher.</w:t>
                            </w:r>
                          </w:p>
                          <w:p w:rsidR="008A7270" w:rsidRPr="00AC4AA3" w:rsidRDefault="008A7270" w:rsidP="0021054F">
                            <w:pPr>
                              <w:jc w:val="both"/>
                              <w:rPr>
                                <w:sz w:val="20"/>
                                <w:szCs w:val="20"/>
                                <w:lang w:val="pt-BR"/>
                              </w:rPr>
                            </w:pPr>
                            <w:r w:rsidRPr="00AC4AA3">
                              <w:rPr>
                                <w:b/>
                                <w:sz w:val="20"/>
                                <w:szCs w:val="20"/>
                                <w:lang w:val="pt-BR"/>
                              </w:rPr>
                              <w:t>FONTE</w:t>
                            </w:r>
                            <w:r w:rsidRPr="00AC4AA3">
                              <w:rPr>
                                <w:sz w:val="20"/>
                                <w:szCs w:val="20"/>
                                <w:lang w:val="pt-BR"/>
                              </w:rPr>
                              <w:t xml:space="preserve">: </w:t>
                            </w:r>
                            <w:r w:rsidRPr="00AC4AA3">
                              <w:rPr>
                                <w:rFonts w:cs="TimesNewRomanPSMT"/>
                                <w:sz w:val="20"/>
                                <w:szCs w:val="20"/>
                                <w:lang w:val="pt-BR"/>
                              </w:rPr>
                              <w:t>CEDAW, artigo 2.</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7" type="#_x0000_t202" style="width:442.9pt;height:2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" fillcolor="#b8cce4 [1300]" strokecolor="#f2f2f2 [3041]" strokeweight="3pt">
                <v:shadow on="t" color="#205867 [1608]" opacity=".5" offset="1pt"/>
                <v:textbox>
                  <w:txbxContent>
                    <w:p w:rsidR="008A7270" w:rsidRPr="00720025" w:rsidRDefault="008A7270" w:rsidP="0021054F">
                      <w:pPr>
                        <w:autoSpaceDE w:val="0"/>
                        <w:autoSpaceDN w:val="0"/>
                        <w:adjustRightInd w:val="0"/>
                        <w:spacing w:after="0" w:line="240" w:lineRule="auto"/>
                        <w:jc w:val="center"/>
                        <w:rPr>
                          <w:rFonts w:cs="Times-Roman"/>
                          <w:b/>
                          <w:color w:val="548DD4" w:themeColor="text2" w:themeTint="99"/>
                          <w:sz w:val="20"/>
                          <w:szCs w:val="20"/>
                          <w:lang w:val="pt-BR"/>
                        </w:rPr>
                      </w:pPr>
                      <w:r w:rsidRPr="00720025">
                        <w:rPr>
                          <w:rFonts w:cs="Times-Roman"/>
                          <w:b/>
                          <w:color w:val="548DD4" w:themeColor="text2" w:themeTint="99"/>
                          <w:sz w:val="20"/>
                          <w:szCs w:val="20"/>
                          <w:lang w:val="pt-BR"/>
                        </w:rPr>
                        <w:t>COMPROMISSOS DOS ESTADOS PARA A ELIMINAÇÃO DA DISCRIMINAÇÃO CONTRA A MULHER</w:t>
                      </w:r>
                    </w:p>
                    <w:p w:rsidR="008A7270" w:rsidRDefault="008A7270" w:rsidP="0021054F">
                      <w:pPr>
                        <w:autoSpaceDE w:val="0"/>
                        <w:autoSpaceDN w:val="0"/>
                        <w:adjustRightInd w:val="0"/>
                        <w:spacing w:after="0" w:line="240" w:lineRule="auto"/>
                        <w:jc w:val="both"/>
                        <w:rPr>
                          <w:rFonts w:cs="Times-Roman"/>
                          <w:sz w:val="20"/>
                          <w:szCs w:val="20"/>
                          <w:lang w:val="pt-BR"/>
                        </w:rPr>
                      </w:pPr>
                    </w:p>
                    <w:p w:rsidR="008A7270" w:rsidRPr="00524A96" w:rsidRDefault="008A7270" w:rsidP="0021054F">
                      <w:pPr>
                        <w:autoSpaceDE w:val="0"/>
                        <w:autoSpaceDN w:val="0"/>
                        <w:adjustRightInd w:val="0"/>
                        <w:spacing w:after="0" w:line="240" w:lineRule="auto"/>
                        <w:jc w:val="both"/>
                        <w:rPr>
                          <w:rFonts w:cs="Times-Roman"/>
                          <w:sz w:val="20"/>
                          <w:szCs w:val="20"/>
                          <w:lang w:val="pt-BR"/>
                        </w:rPr>
                      </w:pPr>
                      <w:r w:rsidRPr="00524A96">
                        <w:rPr>
                          <w:rFonts w:cs="Times-Roman"/>
                          <w:sz w:val="20"/>
                          <w:szCs w:val="20"/>
                          <w:lang w:val="pt-BR"/>
                        </w:rPr>
                        <w:t>Os Estados-Partes condenam a discriminação contra a mulher em todas as suas formas, concordam em seguir, por todos os meios apropriados e sem dilações, uma política destinada a eliminar a discriminação contra a mulher, e com tal objetivo se comprometem a:</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 xml:space="preserve">consagrar, se ainda não o tiverem feito, em suas constituições nacionais ou em outra legislação apropriada, o princípio da igualdade do homem e da mulher e assegurar por lei outros meios apropriados à realização prática desse princípio; </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adotar medidas adequadas, legislativas e de outro caráter, com as sanções cabíveis e que proíbam toda discriminação contra a mulher;</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estabelecer a proteção jurídica dos direitos da mulher numa base de igualdade com os do homem e garantir, por meio dos tribunais nacionais competentes e de outras instituições públicas, a proteção efetiva da mulher contra todo ato de discriminação;</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abster-se de incorrer em todo ato ou prática de discriminação contra a mulher e zelar para que as autoridades e instituições públicas atuem em conformidade com esta obrigação;</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 xml:space="preserve">tomar as medidas apropriadas para eliminar a discriminação contra a mulher praticada por qualquer pessoa, organização ou empresa; </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adotar todas as medidas adequadas, inclusive de caráter legislativo, para modificar ou derrogar leis, regulamentos, usos e práticas que constituam discriminação contra a mulher;</w:t>
                      </w:r>
                    </w:p>
                    <w:p w:rsidR="008A7270" w:rsidRPr="00524A96" w:rsidRDefault="008A7270" w:rsidP="00243978">
                      <w:pPr>
                        <w:pStyle w:val="PargrafodaLista"/>
                        <w:numPr>
                          <w:ilvl w:val="0"/>
                          <w:numId w:val="3"/>
                        </w:numPr>
                        <w:autoSpaceDE w:val="0"/>
                        <w:autoSpaceDN w:val="0"/>
                        <w:adjustRightInd w:val="0"/>
                        <w:spacing w:after="0" w:line="240" w:lineRule="auto"/>
                        <w:ind w:left="426" w:hanging="284"/>
                        <w:jc w:val="both"/>
                        <w:rPr>
                          <w:rFonts w:cs="Times-Roman"/>
                          <w:sz w:val="20"/>
                          <w:szCs w:val="20"/>
                          <w:lang w:val="pt-BR"/>
                        </w:rPr>
                      </w:pPr>
                      <w:r w:rsidRPr="00524A96">
                        <w:rPr>
                          <w:rFonts w:cs="Times-Roman"/>
                          <w:sz w:val="20"/>
                          <w:szCs w:val="20"/>
                          <w:lang w:val="pt-BR"/>
                        </w:rPr>
                        <w:t>derrogar todas as disposições penais nacionais que constituam discriminação contra a mulher.</w:t>
                      </w:r>
                    </w:p>
                    <w:p w:rsidR="008A7270" w:rsidRPr="00AC4AA3" w:rsidRDefault="008A7270" w:rsidP="0021054F">
                      <w:pPr>
                        <w:jc w:val="both"/>
                        <w:rPr>
                          <w:sz w:val="20"/>
                          <w:szCs w:val="20"/>
                          <w:lang w:val="pt-BR"/>
                        </w:rPr>
                      </w:pPr>
                      <w:r w:rsidRPr="00AC4AA3">
                        <w:rPr>
                          <w:b/>
                          <w:sz w:val="20"/>
                          <w:szCs w:val="20"/>
                          <w:lang w:val="pt-BR"/>
                        </w:rPr>
                        <w:t>FONTE</w:t>
                      </w:r>
                      <w:r w:rsidRPr="00AC4AA3">
                        <w:rPr>
                          <w:sz w:val="20"/>
                          <w:szCs w:val="20"/>
                          <w:lang w:val="pt-BR"/>
                        </w:rPr>
                        <w:t xml:space="preserve">: </w:t>
                      </w:r>
                      <w:r w:rsidRPr="00AC4AA3">
                        <w:rPr>
                          <w:rFonts w:cs="TimesNewRomanPSMT"/>
                          <w:sz w:val="20"/>
                          <w:szCs w:val="20"/>
                          <w:lang w:val="pt-BR"/>
                        </w:rPr>
                        <w:t>CEDAW, artigo 2.</w:t>
                      </w:r>
                    </w:p>
                  </w:txbxContent>
                </v:textbox>
                <w10:anchorlock/>
              </v:shape>
            </w:pict>
          </mc:Fallback>
        </mc:AlternateContent>
      </w:r>
    </w:p>
    <w:p w:rsidR="0021054F" w:rsidRPr="00C90523" w:rsidRDefault="0021054F" w:rsidP="002D786A">
      <w:pPr>
        <w:autoSpaceDE w:val="0"/>
        <w:autoSpaceDN w:val="0"/>
        <w:adjustRightInd w:val="0"/>
        <w:spacing w:after="0"/>
        <w:jc w:val="both"/>
        <w:rPr>
          <w:rFonts w:cs="TimesNewRomanPS-ItalicMT"/>
          <w:iCs/>
        </w:rPr>
      </w:pPr>
    </w:p>
    <w:p w:rsidR="002D786A" w:rsidRPr="00C90523" w:rsidRDefault="006568A3" w:rsidP="002D786A">
      <w:pPr>
        <w:autoSpaceDE w:val="0"/>
        <w:autoSpaceDN w:val="0"/>
        <w:adjustRightInd w:val="0"/>
        <w:spacing w:after="0"/>
        <w:jc w:val="both"/>
        <w:rPr>
          <w:rFonts w:cs="TimesNewRomanPS-ItalicMT"/>
          <w:iCs/>
        </w:rPr>
      </w:pPr>
      <w:r w:rsidRPr="006568A3">
        <w:rPr>
          <w:rFonts w:cs="TimesNewRomanPS-ItalicMT"/>
          <w:iCs/>
        </w:rPr>
        <w:t>O princípio da não discriminação obriga aos Estados a garantir a igualdade de tratamento entre as pessoas, independentemente da sua condição e para isso “tomarão, em todas as esferas e, em particular, nas esferas política, social, económica e cultural, todas as medidas apropriadas, inclusive de caráter legislativo, para assegurar o pleno desenvolvimento e progresso das mulheres, com o objetivo de lhes garantir o exercício e gozo dos direitos humanos e liberdades fundamentais em igualdade de condições com os homens”.</w:t>
      </w:r>
      <w:r w:rsidR="002D786A" w:rsidRPr="00C90523">
        <w:rPr>
          <w:rFonts w:cs="TimesNewRomanPS-ItalicMT"/>
          <w:iCs/>
          <w:vertAlign w:val="superscript"/>
        </w:rPr>
        <w:footnoteReference w:id="11"/>
      </w:r>
    </w:p>
    <w:p w:rsidR="002D786A" w:rsidRPr="00C90523" w:rsidRDefault="002D786A" w:rsidP="002D786A">
      <w:pPr>
        <w:autoSpaceDE w:val="0"/>
        <w:autoSpaceDN w:val="0"/>
        <w:adjustRightInd w:val="0"/>
        <w:spacing w:after="0" w:line="240" w:lineRule="auto"/>
        <w:jc w:val="both"/>
        <w:rPr>
          <w:rFonts w:cs="TrebuchetMS"/>
        </w:rPr>
      </w:pPr>
    </w:p>
    <w:p w:rsidR="002D786A" w:rsidRPr="00C90523" w:rsidRDefault="006568A3" w:rsidP="00E60FC4">
      <w:pPr>
        <w:pStyle w:val="Cabealho3"/>
      </w:pPr>
      <w:bookmarkStart w:id="7" w:name="_Toc406667262"/>
      <w:r w:rsidRPr="006568A3">
        <w:t>2.1.2. Igualdade e equidade de género</w:t>
      </w:r>
      <w:bookmarkEnd w:id="7"/>
    </w:p>
    <w:p w:rsidR="002D786A" w:rsidRPr="00C90523" w:rsidRDefault="002D786A" w:rsidP="002D786A">
      <w:pPr>
        <w:autoSpaceDE w:val="0"/>
        <w:autoSpaceDN w:val="0"/>
        <w:adjustRightInd w:val="0"/>
        <w:spacing w:after="0"/>
        <w:jc w:val="both"/>
        <w:rPr>
          <w:rFonts w:cs="TimesNewRomanPSMT"/>
        </w:rPr>
      </w:pPr>
    </w:p>
    <w:p w:rsidR="002D786A" w:rsidRPr="00C90523" w:rsidRDefault="006568A3" w:rsidP="002D786A">
      <w:pPr>
        <w:autoSpaceDE w:val="0"/>
        <w:autoSpaceDN w:val="0"/>
        <w:adjustRightInd w:val="0"/>
        <w:spacing w:after="0"/>
        <w:jc w:val="both"/>
        <w:rPr>
          <w:rFonts w:cs="TimesNewRomanPS-ItalicMT"/>
          <w:iCs/>
          <w:color w:val="8064A2" w:themeColor="accent4"/>
        </w:rPr>
      </w:pPr>
      <w:r w:rsidRPr="006568A3">
        <w:rPr>
          <w:rFonts w:cs="TimesNewRomanPS-ItalicMT"/>
          <w:iCs/>
        </w:rPr>
        <w:t>Quando falamos de igualdade e equidade é necessário ter em conta que os dois termos não são sinónimos nem intercambiáveis. A equidade é definida como um princípio associado com juízos éticos, morais e políticos em torno da ideia do que é justo. Parte do fato de que ninguém deve estar em desvantagem e sua função é fechar as diferenças injustas. Tem caráter social e não só individual, e procura influenciar a distribuição de poder, direitos, oportunidades e opções</w:t>
      </w:r>
      <w:r w:rsidR="002D786A" w:rsidRPr="00C90523">
        <w:rPr>
          <w:rStyle w:val="Refdenotaderodap"/>
        </w:rPr>
        <w:footnoteReference w:id="12"/>
      </w:r>
      <w:r w:rsidR="00F82771">
        <w:rPr>
          <w:rFonts w:cs="TimesNewRomanPS-ItalicMT"/>
          <w:iCs/>
        </w:rPr>
        <w:t>.</w:t>
      </w:r>
    </w:p>
    <w:p w:rsidR="002D786A" w:rsidRPr="00C90523" w:rsidRDefault="006568A3" w:rsidP="002D786A">
      <w:pPr>
        <w:autoSpaceDE w:val="0"/>
        <w:autoSpaceDN w:val="0"/>
        <w:adjustRightInd w:val="0"/>
        <w:spacing w:after="0"/>
        <w:rPr>
          <w:rFonts w:cs="TimesNewRomanPSMT"/>
        </w:rPr>
      </w:pPr>
      <w:r w:rsidRPr="006568A3">
        <w:rPr>
          <w:rFonts w:cs="TimesNewRomanPSMT"/>
        </w:rPr>
        <w:t xml:space="preserve"> </w:t>
      </w:r>
    </w:p>
    <w:p w:rsidR="002D786A" w:rsidRPr="00C90523" w:rsidRDefault="006568A3" w:rsidP="002D786A">
      <w:pPr>
        <w:autoSpaceDE w:val="0"/>
        <w:autoSpaceDN w:val="0"/>
        <w:adjustRightInd w:val="0"/>
        <w:spacing w:after="0"/>
        <w:jc w:val="both"/>
        <w:rPr>
          <w:rFonts w:cs="TrebuchetMS"/>
          <w:color w:val="5F497A" w:themeColor="accent4" w:themeShade="BF"/>
        </w:rPr>
      </w:pPr>
      <w:r w:rsidRPr="006568A3">
        <w:rPr>
          <w:rFonts w:cs="TimesNewRomanPS-ItalicMT"/>
          <w:iCs/>
        </w:rPr>
        <w:t>A igualdade de género salienta a importância da igualdade de resultados e chama a atenção para a  importância do tratamento diferencial necessário para acabar com as iniquidades  e promover a  autonomia das mulheres como condição indispensável para alcançar a igualdade de género. Portanto a igualdade e equidade são dois princípios que andam de mãos dadas. "Em uma sociedade verdadeiramente justa, os princípios da equidade e da igualdade não se anulam mutuamente, ambos se aplicam, porque eles são interdependentes: nenhum é suficiente sem o outro. A equidade associa-se com oportunidades, enquanto a igualdade tem a ver com o reconhecimento social e jurídico dos direitos e do exercício do poder. Em uma sociedade onde as pessoas não se reconhecem como iguais, é difícil que haja oportunidades para todos. Em uma sociedade de iguais onde não há equidade, haverá uma igualdade restrita porque somos todos diferentes do ponto de vista biológico, social e cultural, e precisamos de coisas distintas em momentos diferentes”</w:t>
      </w:r>
      <w:r w:rsidR="002D786A" w:rsidRPr="00C90523">
        <w:rPr>
          <w:rFonts w:cs="TrebuchetMS"/>
          <w:color w:val="5F497A" w:themeColor="accent4" w:themeShade="BF"/>
          <w:vertAlign w:val="superscript"/>
        </w:rPr>
        <w:footnoteReference w:id="13"/>
      </w:r>
      <w:r w:rsidR="00F82771">
        <w:rPr>
          <w:rFonts w:cs="TimesNewRomanPS-ItalicMT"/>
          <w:iCs/>
        </w:rPr>
        <w:t>.</w:t>
      </w:r>
    </w:p>
    <w:p w:rsidR="002D786A" w:rsidRPr="00C90523" w:rsidRDefault="002D786A" w:rsidP="002D786A">
      <w:pPr>
        <w:autoSpaceDE w:val="0"/>
        <w:autoSpaceDN w:val="0"/>
        <w:adjustRightInd w:val="0"/>
        <w:spacing w:after="0"/>
        <w:jc w:val="both"/>
        <w:rPr>
          <w:rFonts w:cs="TrebuchetMS"/>
          <w:highlight w:val="yellow"/>
        </w:rPr>
      </w:pPr>
    </w:p>
    <w:p w:rsidR="002D786A" w:rsidRPr="00C90523" w:rsidRDefault="006568A3" w:rsidP="002D786A">
      <w:pPr>
        <w:autoSpaceDE w:val="0"/>
        <w:autoSpaceDN w:val="0"/>
        <w:adjustRightInd w:val="0"/>
        <w:spacing w:after="0"/>
        <w:jc w:val="both"/>
        <w:rPr>
          <w:rFonts w:cs="TrebuchetMS"/>
        </w:rPr>
      </w:pPr>
      <w:r w:rsidRPr="006568A3">
        <w:rPr>
          <w:rFonts w:cs="TrebuchetMS"/>
        </w:rPr>
        <w:t>Em suma, a equidade tem como objetivo final de contribuir para alcançar a igualdade (alcançar a igualdade como resultado). Para tal, tem em conta as necessidades e interesses das pessoas que são diversas ou diferentes e permite um tratamento diferenciado para os desfavorecidos, para que tenham a possibilidade de alcançar seus objetivos comuns em condições de igualdade com outras pessoas. Consequentemente, as políticas e ações para eliminar a discriminação e alcançar a igualdade de género requerem a aplicação de medidas deliberadas para corrigir as desvantagens e eliminar as desigualdades resultantes de diferenças, sejam elas de género, idade, origem étnica ou qualquer outro fator que produza efeitos discriminatórios sobre direitos, benefícios, obrigações e oportunidades entre homens e mulheres. São as denominadas medidas de ação afirmativa e aplicam-se a certos setores da população, tendo em conta as circunstâncias particulares de desvantagem e exclusão que viveram ao longo de suas vidas.</w:t>
      </w:r>
    </w:p>
    <w:p w:rsidR="002D786A" w:rsidRPr="00C90523" w:rsidRDefault="002D786A" w:rsidP="002D786A">
      <w:pPr>
        <w:rPr>
          <w:rFonts w:ascii="Arial" w:hAnsi="Arial" w:cs="Arial"/>
          <w:b/>
          <w:i/>
          <w:u w:val="single"/>
        </w:rPr>
      </w:pPr>
    </w:p>
    <w:p w:rsidR="002D786A" w:rsidRPr="00C90523" w:rsidRDefault="006568A3" w:rsidP="00E60FC4">
      <w:pPr>
        <w:pStyle w:val="Cabealho3"/>
      </w:pPr>
      <w:bookmarkStart w:id="8" w:name="_Toc406667263"/>
      <w:r w:rsidRPr="006568A3">
        <w:t>2.1.3. Transversalização  e igualdade de género</w:t>
      </w:r>
      <w:bookmarkEnd w:id="8"/>
    </w:p>
    <w:p w:rsidR="002D786A" w:rsidRPr="00C90523" w:rsidRDefault="002D786A" w:rsidP="002D786A">
      <w:pPr>
        <w:autoSpaceDE w:val="0"/>
        <w:autoSpaceDN w:val="0"/>
        <w:adjustRightInd w:val="0"/>
        <w:spacing w:after="0"/>
        <w:jc w:val="both"/>
        <w:rPr>
          <w:rFonts w:ascii="Arial" w:hAnsi="Arial" w:cs="Arial"/>
          <w:color w:val="76923C" w:themeColor="accent3" w:themeShade="BF"/>
        </w:rPr>
      </w:pPr>
    </w:p>
    <w:p w:rsidR="002D786A" w:rsidRPr="00C90523" w:rsidRDefault="006568A3" w:rsidP="002D786A">
      <w:pPr>
        <w:autoSpaceDE w:val="0"/>
        <w:autoSpaceDN w:val="0"/>
        <w:adjustRightInd w:val="0"/>
        <w:spacing w:after="0"/>
        <w:jc w:val="both"/>
        <w:rPr>
          <w:rFonts w:cs="TrebuchetMS"/>
        </w:rPr>
      </w:pPr>
      <w:r w:rsidRPr="006568A3">
        <w:rPr>
          <w:rFonts w:cs="TrebuchetMS"/>
        </w:rPr>
        <w:t>As Conferência do Cairo, em 1994 e de Beijing em 1995, destacaram a importância do envolvimento de toda a sociedade e do Estado na realização da igualdade de género, estabelecendo, pela primeira vez, que sua abordagem pode não ser exclusivamente sectorial, mas sim deve ser integrada no conjunto das políticas.</w:t>
      </w:r>
    </w:p>
    <w:p w:rsidR="002D786A" w:rsidRPr="00C90523" w:rsidRDefault="002D786A" w:rsidP="002D786A">
      <w:pPr>
        <w:autoSpaceDE w:val="0"/>
        <w:autoSpaceDN w:val="0"/>
        <w:adjustRightInd w:val="0"/>
        <w:spacing w:after="0"/>
        <w:rPr>
          <w:rFonts w:cs="TrebuchetMS"/>
        </w:rPr>
      </w:pPr>
    </w:p>
    <w:p w:rsidR="002D786A" w:rsidRPr="00C90523" w:rsidRDefault="006568A3" w:rsidP="002D786A">
      <w:pPr>
        <w:autoSpaceDE w:val="0"/>
        <w:autoSpaceDN w:val="0"/>
        <w:adjustRightInd w:val="0"/>
        <w:spacing w:after="0"/>
        <w:jc w:val="both"/>
        <w:rPr>
          <w:rFonts w:cs="TrebuchetMS"/>
        </w:rPr>
      </w:pPr>
      <w:r w:rsidRPr="006568A3">
        <w:rPr>
          <w:rFonts w:cs="TrebuchetMS"/>
        </w:rPr>
        <w:t>Assim, surge a estratégia de transversalização de género (</w:t>
      </w:r>
      <w:r w:rsidRPr="006568A3">
        <w:rPr>
          <w:rFonts w:cs="TrebuchetMS"/>
          <w:i/>
        </w:rPr>
        <w:t>gender mainstreaming</w:t>
      </w:r>
      <w:r w:rsidRPr="006568A3">
        <w:rPr>
          <w:rFonts w:cs="TrebuchetMS"/>
        </w:rPr>
        <w:t xml:space="preserve"> em Inglês), cujo objetivo geral é fazer com que as políticas públicas em geral, e políticas de igualdade, tenham um impacto efectivamente transformador nas relações de género. Para isso, as políticas de igualdade devem contribuir para que os governos e outros atores envolvidos na construção da igualdade de género, levem a cabo análises dos efeitos que suas distintas intervenções têm nas mulheres e nos homens e, portanto, desenvolver uma política ativa e visível de integração da perspetiva de género em todas as políticas e programas.</w:t>
      </w:r>
    </w:p>
    <w:p w:rsidR="002D786A" w:rsidRPr="00C90523" w:rsidRDefault="002D786A" w:rsidP="002D786A">
      <w:pPr>
        <w:autoSpaceDE w:val="0"/>
        <w:autoSpaceDN w:val="0"/>
        <w:adjustRightInd w:val="0"/>
        <w:spacing w:after="0"/>
        <w:rPr>
          <w:rFonts w:ascii="MyriadPro-Regular" w:hAnsi="MyriadPro-Regular" w:cs="MyriadPro-Regular"/>
          <w:color w:val="548DD4" w:themeColor="text2" w:themeTint="99"/>
          <w:sz w:val="20"/>
          <w:szCs w:val="20"/>
        </w:rPr>
      </w:pPr>
    </w:p>
    <w:p w:rsidR="002D786A" w:rsidRPr="00C90523" w:rsidRDefault="006568A3" w:rsidP="002D786A">
      <w:pPr>
        <w:autoSpaceDE w:val="0"/>
        <w:autoSpaceDN w:val="0"/>
        <w:adjustRightInd w:val="0"/>
        <w:spacing w:after="0"/>
        <w:jc w:val="both"/>
        <w:rPr>
          <w:rFonts w:cs="TrebuchetMS"/>
        </w:rPr>
      </w:pPr>
      <w:r w:rsidRPr="006568A3">
        <w:rPr>
          <w:rFonts w:cs="TrebuchetMS"/>
        </w:rPr>
        <w:t>A estratégia de transversalização de género não exclui o desenvolvimento de medidas de orientação específica focalizadas, como referido anteriormente, a aplicar a determinados setores da população em situação de desvantagem e exclusão. Ambas estratégias de intervenção - transversalização e ação afirmativa - são necessárias e complementares para a construção da igualdade e equidade de género, uma vez que a transversalização é um processo de longo prazo, o que exige a ampliação de capacidades e desenvolvimento institucional e ferramentas de planeamento e implementação ainda em construção, enquanto as medidas específicas orientadas tendem a agir no curto prazo para abordar de maneira mais concreta as necessidades mais urgentes.</w:t>
      </w:r>
    </w:p>
    <w:p w:rsidR="002D786A" w:rsidRPr="00C90523" w:rsidRDefault="002D786A" w:rsidP="002D786A">
      <w:pPr>
        <w:autoSpaceDE w:val="0"/>
        <w:autoSpaceDN w:val="0"/>
        <w:adjustRightInd w:val="0"/>
        <w:spacing w:after="0"/>
        <w:rPr>
          <w:rFonts w:ascii="MyriadPro-Regular" w:hAnsi="MyriadPro-Regular" w:cs="MyriadPro-Regular"/>
          <w:color w:val="548DD4" w:themeColor="text2" w:themeTint="99"/>
          <w:sz w:val="20"/>
          <w:szCs w:val="20"/>
          <w:highlight w:val="yellow"/>
        </w:rPr>
      </w:pPr>
    </w:p>
    <w:p w:rsidR="002D786A" w:rsidRPr="00C90523" w:rsidRDefault="002D786A" w:rsidP="002D786A">
      <w:pPr>
        <w:spacing w:after="0"/>
        <w:rPr>
          <w:rFonts w:ascii="Arial" w:hAnsi="Arial" w:cs="Arial"/>
          <w:b/>
          <w:i/>
          <w:u w:val="single"/>
        </w:rPr>
      </w:pPr>
    </w:p>
    <w:p w:rsidR="002D786A" w:rsidRPr="00C90523" w:rsidRDefault="006568A3" w:rsidP="00E60FC4">
      <w:pPr>
        <w:pStyle w:val="Cabealho3"/>
      </w:pPr>
      <w:bookmarkStart w:id="9" w:name="_Toc406667264"/>
      <w:r w:rsidRPr="006568A3">
        <w:t>2.1.4. Igualdade de género e empoderamento das mulheres</w:t>
      </w:r>
      <w:bookmarkEnd w:id="9"/>
      <w:r w:rsidRPr="006568A3">
        <w:t xml:space="preserve"> </w:t>
      </w:r>
    </w:p>
    <w:p w:rsidR="002D786A" w:rsidRPr="00C90523" w:rsidRDefault="002D786A" w:rsidP="002D786A">
      <w:pPr>
        <w:autoSpaceDE w:val="0"/>
        <w:autoSpaceDN w:val="0"/>
        <w:adjustRightInd w:val="0"/>
        <w:spacing w:after="0"/>
        <w:rPr>
          <w:rFonts w:ascii="TrebuchetMS-Italic" w:hAnsi="TrebuchetMS-Italic" w:cs="TrebuchetMS-Italic"/>
          <w:i/>
          <w:iCs/>
          <w:color w:val="5F497A" w:themeColor="accent4" w:themeShade="BF"/>
          <w:sz w:val="18"/>
          <w:szCs w:val="18"/>
        </w:rPr>
      </w:pPr>
    </w:p>
    <w:p w:rsidR="002D786A" w:rsidRPr="00C90523" w:rsidRDefault="002D786A" w:rsidP="002D786A">
      <w:pPr>
        <w:pStyle w:val="NormalWeb"/>
        <w:shd w:val="clear" w:color="auto" w:fill="FFFFFF"/>
        <w:spacing w:before="0" w:beforeAutospacing="0" w:after="0" w:afterAutospacing="0" w:line="276" w:lineRule="auto"/>
        <w:jc w:val="both"/>
        <w:rPr>
          <w:rFonts w:asciiTheme="minorHAnsi" w:hAnsiTheme="minorHAnsi"/>
          <w:sz w:val="22"/>
          <w:szCs w:val="22"/>
          <w:lang w:val="pt-PT"/>
        </w:rPr>
      </w:pPr>
      <w:r w:rsidRPr="00C90523">
        <w:rPr>
          <w:rFonts w:asciiTheme="minorHAnsi" w:hAnsiTheme="minorHAnsi"/>
          <w:sz w:val="22"/>
          <w:szCs w:val="22"/>
          <w:lang w:val="pt-PT"/>
        </w:rPr>
        <w:t xml:space="preserve">O termo </w:t>
      </w:r>
      <w:r w:rsidRPr="00C90523">
        <w:rPr>
          <w:rFonts w:asciiTheme="minorHAnsi" w:hAnsiTheme="minorHAnsi"/>
          <w:b/>
          <w:bCs/>
          <w:sz w:val="22"/>
          <w:szCs w:val="22"/>
          <w:lang w:val="pt-PT"/>
        </w:rPr>
        <w:t>empoderamento</w:t>
      </w:r>
      <w:r w:rsidRPr="00C90523">
        <w:rPr>
          <w:rFonts w:asciiTheme="minorHAnsi" w:hAnsiTheme="minorHAnsi"/>
          <w:sz w:val="22"/>
          <w:szCs w:val="22"/>
          <w:lang w:val="pt-PT"/>
        </w:rPr>
        <w:t xml:space="preserve"> procede do inglês empowerment. Nasce como conceito nas organizações populares dos países do sul, entre elas as organizações feministas e d</w:t>
      </w:r>
      <w:r w:rsidRPr="00861276">
        <w:rPr>
          <w:rFonts w:asciiTheme="minorHAnsi" w:hAnsiTheme="minorHAnsi"/>
          <w:sz w:val="22"/>
          <w:szCs w:val="22"/>
          <w:lang w:val="pt-PT"/>
        </w:rPr>
        <w:t>e mulheres, para referir-se ao processo mediante o qual as pessoas e grupos excluídos desenvolvem capacidades para analisar, questionar e subverter as estruturas de </w:t>
      </w:r>
      <w:r w:rsidRPr="00C90523">
        <w:rPr>
          <w:rFonts w:asciiTheme="minorHAnsi" w:hAnsiTheme="minorHAnsi"/>
          <w:b/>
          <w:bCs/>
          <w:sz w:val="22"/>
          <w:szCs w:val="22"/>
          <w:lang w:val="pt-PT"/>
        </w:rPr>
        <w:t>poder</w:t>
      </w:r>
      <w:r w:rsidRPr="00C90523">
        <w:rPr>
          <w:rFonts w:asciiTheme="minorHAnsi" w:hAnsiTheme="minorHAnsi"/>
          <w:sz w:val="22"/>
          <w:szCs w:val="22"/>
          <w:lang w:val="pt-PT"/>
        </w:rPr>
        <w:t> que as mantêm em posição de subordinação. O empoderamento é um processo gradual, complexo e dinâmico através do qual se busca o:</w:t>
      </w:r>
    </w:p>
    <w:p w:rsidR="002D786A" w:rsidRPr="00C90523" w:rsidRDefault="006568A3" w:rsidP="00243978">
      <w:pPr>
        <w:pStyle w:val="NormalWeb"/>
        <w:numPr>
          <w:ilvl w:val="1"/>
          <w:numId w:val="5"/>
        </w:numPr>
        <w:shd w:val="clear" w:color="auto" w:fill="FFFFFF"/>
        <w:tabs>
          <w:tab w:val="clear" w:pos="1440"/>
          <w:tab w:val="num" w:pos="567"/>
        </w:tabs>
        <w:spacing w:before="0" w:beforeAutospacing="0" w:after="0" w:afterAutospacing="0" w:line="276" w:lineRule="auto"/>
        <w:ind w:left="567" w:hanging="425"/>
        <w:rPr>
          <w:rFonts w:asciiTheme="minorHAnsi" w:hAnsiTheme="minorHAnsi"/>
          <w:sz w:val="22"/>
          <w:szCs w:val="22"/>
          <w:lang w:val="pt-PT"/>
        </w:rPr>
      </w:pPr>
      <w:r w:rsidRPr="006568A3">
        <w:rPr>
          <w:rFonts w:asciiTheme="minorHAnsi" w:hAnsiTheme="minorHAnsi"/>
          <w:sz w:val="22"/>
          <w:szCs w:val="22"/>
          <w:lang w:val="pt-PT"/>
        </w:rPr>
        <w:t xml:space="preserve">Aumento da autonomia e das forças internas no acesso aos recursos e benefícios, e o controlo sobre estes; </w:t>
      </w:r>
    </w:p>
    <w:p w:rsidR="002D786A" w:rsidRPr="00C90523" w:rsidRDefault="006568A3" w:rsidP="00243978">
      <w:pPr>
        <w:pStyle w:val="NormalWeb"/>
        <w:numPr>
          <w:ilvl w:val="1"/>
          <w:numId w:val="5"/>
        </w:numPr>
        <w:shd w:val="clear" w:color="auto" w:fill="FFFFFF"/>
        <w:tabs>
          <w:tab w:val="clear" w:pos="1440"/>
          <w:tab w:val="num" w:pos="567"/>
        </w:tabs>
        <w:spacing w:before="0" w:beforeAutospacing="0" w:after="0" w:afterAutospacing="0" w:line="276" w:lineRule="auto"/>
        <w:ind w:left="567" w:hanging="425"/>
        <w:rPr>
          <w:rFonts w:asciiTheme="minorHAnsi" w:hAnsiTheme="minorHAnsi"/>
          <w:sz w:val="22"/>
          <w:szCs w:val="22"/>
          <w:lang w:val="pt-PT"/>
        </w:rPr>
      </w:pPr>
      <w:r w:rsidRPr="006568A3">
        <w:rPr>
          <w:rFonts w:asciiTheme="minorHAnsi" w:hAnsiTheme="minorHAnsi"/>
          <w:sz w:val="22"/>
          <w:szCs w:val="22"/>
          <w:lang w:val="pt-PT"/>
        </w:rPr>
        <w:t>Fortalecimento da auto-confiança, da capacidade de fazer escolhas, de influenciar o sentido da mudança;</w:t>
      </w:r>
    </w:p>
    <w:p w:rsidR="002D786A" w:rsidRPr="00C90523" w:rsidRDefault="006568A3" w:rsidP="00243978">
      <w:pPr>
        <w:pStyle w:val="NormalWeb"/>
        <w:numPr>
          <w:ilvl w:val="1"/>
          <w:numId w:val="5"/>
        </w:numPr>
        <w:shd w:val="clear" w:color="auto" w:fill="FFFFFF"/>
        <w:tabs>
          <w:tab w:val="clear" w:pos="1440"/>
          <w:tab w:val="num" w:pos="567"/>
        </w:tabs>
        <w:spacing w:before="0" w:beforeAutospacing="0" w:after="0" w:afterAutospacing="0" w:line="276" w:lineRule="auto"/>
        <w:ind w:left="567" w:hanging="425"/>
        <w:rPr>
          <w:rFonts w:asciiTheme="minorHAnsi" w:hAnsiTheme="minorHAnsi"/>
          <w:sz w:val="22"/>
          <w:szCs w:val="22"/>
          <w:lang w:val="pt-PT"/>
        </w:rPr>
      </w:pPr>
      <w:r w:rsidRPr="006568A3">
        <w:rPr>
          <w:rFonts w:asciiTheme="minorHAnsi" w:hAnsiTheme="minorHAnsi"/>
          <w:sz w:val="22"/>
          <w:szCs w:val="22"/>
          <w:lang w:val="pt-PT"/>
        </w:rPr>
        <w:t>Reequilíbrio do exercício do poder entre mulheres e homens.</w:t>
      </w:r>
    </w:p>
    <w:p w:rsidR="002D786A" w:rsidRPr="00861276" w:rsidRDefault="002D786A" w:rsidP="002D786A">
      <w:pPr>
        <w:pStyle w:val="NormalWeb"/>
        <w:shd w:val="clear" w:color="auto" w:fill="FFFFFF"/>
        <w:spacing w:before="0" w:beforeAutospacing="0" w:after="0" w:afterAutospacing="0" w:line="276" w:lineRule="auto"/>
        <w:jc w:val="both"/>
        <w:rPr>
          <w:rFonts w:asciiTheme="minorHAnsi" w:hAnsiTheme="minorHAnsi"/>
          <w:color w:val="0070C0"/>
          <w:sz w:val="22"/>
          <w:szCs w:val="22"/>
          <w:lang w:val="pt-PT"/>
        </w:rPr>
      </w:pPr>
    </w:p>
    <w:p w:rsidR="002D786A" w:rsidRPr="00C90523" w:rsidRDefault="002D786A" w:rsidP="002D786A">
      <w:pPr>
        <w:pStyle w:val="NormalWeb"/>
        <w:shd w:val="clear" w:color="auto" w:fill="FFFFFF"/>
        <w:spacing w:before="0" w:beforeAutospacing="0" w:after="0" w:afterAutospacing="0" w:line="276" w:lineRule="auto"/>
        <w:jc w:val="both"/>
        <w:rPr>
          <w:rFonts w:asciiTheme="minorHAnsi" w:hAnsiTheme="minorHAnsi"/>
          <w:sz w:val="22"/>
          <w:szCs w:val="22"/>
          <w:lang w:val="pt-PT"/>
        </w:rPr>
      </w:pPr>
      <w:r w:rsidRPr="00C90523">
        <w:rPr>
          <w:rFonts w:asciiTheme="minorHAnsi" w:hAnsiTheme="minorHAnsi"/>
          <w:sz w:val="22"/>
          <w:szCs w:val="22"/>
          <w:lang w:val="pt-PT"/>
        </w:rPr>
        <w:t xml:space="preserve">O empoderamento seria então </w:t>
      </w:r>
      <w:r w:rsidRPr="00C90523">
        <w:rPr>
          <w:rFonts w:asciiTheme="minorHAnsi" w:hAnsiTheme="minorHAnsi"/>
          <w:b/>
          <w:bCs/>
          <w:sz w:val="22"/>
          <w:szCs w:val="22"/>
          <w:lang w:val="pt-PT"/>
        </w:rPr>
        <w:t xml:space="preserve">passar duma situação de subordinação a uma situação na qual se tem autonomia, </w:t>
      </w:r>
      <w:r w:rsidRPr="00C90523">
        <w:rPr>
          <w:rFonts w:asciiTheme="minorHAnsi" w:hAnsiTheme="minorHAnsi"/>
          <w:sz w:val="22"/>
          <w:szCs w:val="22"/>
          <w:lang w:val="pt-PT"/>
        </w:rPr>
        <w:t>controlo</w:t>
      </w:r>
      <w:r w:rsidRPr="00C90523">
        <w:rPr>
          <w:rFonts w:asciiTheme="minorHAnsi" w:hAnsiTheme="minorHAnsi"/>
          <w:b/>
          <w:bCs/>
          <w:sz w:val="22"/>
          <w:szCs w:val="22"/>
          <w:lang w:val="pt-PT"/>
        </w:rPr>
        <w:t xml:space="preserve">, </w:t>
      </w:r>
      <w:r w:rsidRPr="00C90523">
        <w:rPr>
          <w:rFonts w:asciiTheme="minorHAnsi" w:hAnsiTheme="minorHAnsi"/>
          <w:sz w:val="22"/>
          <w:szCs w:val="22"/>
          <w:lang w:val="pt-PT"/>
        </w:rPr>
        <w:t xml:space="preserve">sobre as decisões que afetam a própria vida. É por esta razão que a autonomia das mulheres constitui o conceito básico ligado ao empoderamento. A noção de </w:t>
      </w:r>
      <w:r w:rsidRPr="00C90523">
        <w:rPr>
          <w:rFonts w:asciiTheme="minorHAnsi" w:hAnsiTheme="minorHAnsi"/>
          <w:b/>
          <w:bCs/>
          <w:sz w:val="22"/>
          <w:szCs w:val="22"/>
          <w:lang w:val="pt-PT"/>
        </w:rPr>
        <w:t>autonomia</w:t>
      </w:r>
      <w:r w:rsidRPr="00C90523">
        <w:rPr>
          <w:rFonts w:asciiTheme="minorHAnsi" w:hAnsiTheme="minorHAnsi"/>
          <w:sz w:val="22"/>
          <w:szCs w:val="22"/>
          <w:lang w:val="pt-PT"/>
        </w:rPr>
        <w:t xml:space="preserve"> refere-se à capacidade das pessoas para tomar decisões livremente e informadas sobre as suas vidas, e a forma de poder ser e fazer em função das suas próprias aspirações e desejos, no contexto histórico que as torna possíveis. Dependendo das capacidades desenvolvidas, pode falar-se de distintas esferas da autonomia das mulheres, como são: a autonomia económica, a autonomia na tomada de decisões e a autonomia física.</w:t>
      </w:r>
    </w:p>
    <w:p w:rsidR="002D786A" w:rsidRPr="00C90523" w:rsidRDefault="002D786A" w:rsidP="00243978">
      <w:pPr>
        <w:pStyle w:val="NormalWeb"/>
        <w:numPr>
          <w:ilvl w:val="0"/>
          <w:numId w:val="6"/>
        </w:numPr>
        <w:shd w:val="clear" w:color="auto" w:fill="FFFFFF"/>
        <w:spacing w:before="0" w:beforeAutospacing="0" w:after="0" w:afterAutospacing="0" w:line="276" w:lineRule="auto"/>
        <w:ind w:left="567" w:hanging="425"/>
        <w:jc w:val="both"/>
        <w:rPr>
          <w:rFonts w:asciiTheme="minorHAnsi" w:hAnsiTheme="minorHAnsi"/>
          <w:sz w:val="22"/>
          <w:szCs w:val="22"/>
          <w:lang w:val="pt-PT"/>
        </w:rPr>
      </w:pPr>
      <w:r w:rsidRPr="00C90523">
        <w:rPr>
          <w:rFonts w:asciiTheme="minorHAnsi" w:hAnsiTheme="minorHAnsi"/>
          <w:b/>
          <w:bCs/>
          <w:sz w:val="22"/>
          <w:szCs w:val="22"/>
          <w:lang w:val="pt-PT"/>
        </w:rPr>
        <w:t>A autonomia na tomada de decisões</w:t>
      </w:r>
      <w:r w:rsidRPr="00C90523">
        <w:rPr>
          <w:rFonts w:asciiTheme="minorHAnsi" w:hAnsiTheme="minorHAnsi"/>
          <w:sz w:val="22"/>
          <w:szCs w:val="22"/>
          <w:lang w:val="pt-PT"/>
        </w:rPr>
        <w:t xml:space="preserve">: Refere-se à presença na tomada de decisões em distintos níveis de poder do Estado e às medidas para promover a participação plena e em igualdade de condições de mulheres e homens. </w:t>
      </w:r>
    </w:p>
    <w:p w:rsidR="002D786A" w:rsidRPr="00C90523" w:rsidRDefault="002D786A" w:rsidP="00243978">
      <w:pPr>
        <w:pStyle w:val="NormalWeb"/>
        <w:numPr>
          <w:ilvl w:val="0"/>
          <w:numId w:val="6"/>
        </w:numPr>
        <w:shd w:val="clear" w:color="auto" w:fill="FFFFFF"/>
        <w:spacing w:before="0" w:beforeAutospacing="0" w:after="0" w:afterAutospacing="0" w:line="276" w:lineRule="auto"/>
        <w:ind w:left="567" w:hanging="425"/>
        <w:jc w:val="both"/>
        <w:rPr>
          <w:rFonts w:asciiTheme="minorHAnsi" w:hAnsiTheme="minorHAnsi"/>
          <w:sz w:val="22"/>
          <w:szCs w:val="22"/>
          <w:lang w:val="pt-PT"/>
        </w:rPr>
      </w:pPr>
      <w:r w:rsidRPr="00C90523">
        <w:rPr>
          <w:rFonts w:asciiTheme="minorHAnsi" w:hAnsiTheme="minorHAnsi"/>
          <w:b/>
          <w:bCs/>
          <w:sz w:val="22"/>
          <w:szCs w:val="22"/>
          <w:lang w:val="pt-PT"/>
        </w:rPr>
        <w:t>A autonomia económica</w:t>
      </w:r>
      <w:r w:rsidRPr="00C90523">
        <w:rPr>
          <w:rFonts w:asciiTheme="minorHAnsi" w:hAnsiTheme="minorHAnsi"/>
          <w:sz w:val="22"/>
          <w:szCs w:val="22"/>
          <w:lang w:val="pt-PT"/>
        </w:rPr>
        <w:t xml:space="preserve">: </w:t>
      </w:r>
      <w:r w:rsidRPr="00C90523">
        <w:rPr>
          <w:rFonts w:asciiTheme="minorHAnsi" w:eastAsia="+mn-ea" w:hAnsiTheme="minorHAnsi"/>
          <w:sz w:val="22"/>
          <w:szCs w:val="22"/>
          <w:lang w:val="pt-PT"/>
        </w:rPr>
        <w:t>Representa a capacidade de gerar renda e recursos próprios, a partir do acesso ao trabalho remunerado</w:t>
      </w:r>
      <w:r w:rsidRPr="00C90523">
        <w:rPr>
          <w:rFonts w:asciiTheme="minorHAnsi" w:hAnsiTheme="minorHAnsi"/>
          <w:sz w:val="22"/>
          <w:szCs w:val="22"/>
          <w:lang w:val="pt-PT"/>
        </w:rPr>
        <w:t>.</w:t>
      </w:r>
      <w:r w:rsidRPr="00C90523">
        <w:rPr>
          <w:rFonts w:asciiTheme="minorHAnsi" w:eastAsia="+mn-ea" w:hAnsiTheme="minorHAnsi"/>
          <w:sz w:val="22"/>
          <w:szCs w:val="22"/>
          <w:lang w:val="pt-PT"/>
        </w:rPr>
        <w:t xml:space="preserve"> </w:t>
      </w:r>
    </w:p>
    <w:p w:rsidR="002D786A" w:rsidRPr="00C90523" w:rsidRDefault="002D786A" w:rsidP="00243978">
      <w:pPr>
        <w:pStyle w:val="NormalWeb"/>
        <w:numPr>
          <w:ilvl w:val="0"/>
          <w:numId w:val="6"/>
        </w:numPr>
        <w:shd w:val="clear" w:color="auto" w:fill="FFFFFF"/>
        <w:spacing w:before="0" w:beforeAutospacing="0" w:after="0" w:afterAutospacing="0" w:line="276" w:lineRule="auto"/>
        <w:ind w:left="567" w:hanging="425"/>
        <w:jc w:val="both"/>
        <w:rPr>
          <w:rFonts w:asciiTheme="minorHAnsi" w:hAnsiTheme="minorHAnsi"/>
          <w:sz w:val="22"/>
          <w:szCs w:val="22"/>
          <w:lang w:val="pt-PT"/>
        </w:rPr>
      </w:pPr>
      <w:r w:rsidRPr="00C90523">
        <w:rPr>
          <w:rFonts w:asciiTheme="minorHAnsi" w:hAnsiTheme="minorHAnsi"/>
          <w:b/>
          <w:bCs/>
          <w:sz w:val="22"/>
          <w:szCs w:val="22"/>
          <w:lang w:val="pt-PT"/>
        </w:rPr>
        <w:t>A autonomia física</w:t>
      </w:r>
      <w:r w:rsidRPr="00C90523">
        <w:rPr>
          <w:rFonts w:asciiTheme="minorHAnsi" w:hAnsiTheme="minorHAnsi"/>
          <w:sz w:val="22"/>
          <w:szCs w:val="22"/>
          <w:lang w:val="pt-PT"/>
        </w:rPr>
        <w:t xml:space="preserve">: Refere-se à capacidade de controlo sobre seu corpo e sua saúde integral incluindo a liberdade de decisão em relação à sexualidade e fecundidade e o direito a uma vida livre de </w:t>
      </w:r>
      <w:r w:rsidRPr="00861276">
        <w:rPr>
          <w:rFonts w:asciiTheme="minorHAnsi" w:eastAsia="+mn-ea" w:hAnsiTheme="minorHAnsi"/>
          <w:sz w:val="22"/>
          <w:szCs w:val="22"/>
          <w:lang w:val="pt-PT"/>
        </w:rPr>
        <w:t>violência</w:t>
      </w:r>
      <w:r w:rsidRPr="00C90523">
        <w:rPr>
          <w:rFonts w:asciiTheme="minorHAnsi" w:hAnsiTheme="minorHAnsi"/>
          <w:sz w:val="22"/>
          <w:szCs w:val="22"/>
          <w:lang w:val="pt-PT"/>
        </w:rPr>
        <w:t>.</w:t>
      </w:r>
    </w:p>
    <w:p w:rsidR="002D786A" w:rsidRPr="00C90523" w:rsidRDefault="002D786A" w:rsidP="002D786A">
      <w:pPr>
        <w:autoSpaceDE w:val="0"/>
        <w:autoSpaceDN w:val="0"/>
        <w:adjustRightInd w:val="0"/>
        <w:spacing w:after="0"/>
        <w:jc w:val="both"/>
        <w:rPr>
          <w:rFonts w:cs="TrebuchetMS"/>
        </w:rPr>
      </w:pPr>
    </w:p>
    <w:p w:rsidR="002D786A" w:rsidRPr="00C90523" w:rsidRDefault="006568A3" w:rsidP="002D786A">
      <w:pPr>
        <w:autoSpaceDE w:val="0"/>
        <w:autoSpaceDN w:val="0"/>
        <w:adjustRightInd w:val="0"/>
        <w:spacing w:after="0"/>
        <w:jc w:val="both"/>
        <w:rPr>
          <w:rFonts w:cs="TrebuchetMS"/>
        </w:rPr>
      </w:pPr>
      <w:r w:rsidRPr="006568A3">
        <w:rPr>
          <w:rFonts w:cs="TrebuchetMS"/>
        </w:rPr>
        <w:t>A Declaração e Plataforma de Ação de Beijing definiu em 1995 o empoderamento da mulher e sua total participação, em base de igualdade, em todos os campos sociais, incluindo a participação no processo decisório e acesso ao poder, como elementos fundamentais para a realização da igualdade.</w:t>
      </w:r>
      <w:r w:rsidRPr="006568A3">
        <w:rPr>
          <w:rFonts w:cs="TrebuchetMS"/>
          <w:color w:val="00B050"/>
        </w:rPr>
        <w:t xml:space="preserve"> </w:t>
      </w:r>
      <w:r w:rsidRPr="006568A3">
        <w:rPr>
          <w:rFonts w:cs="TrebuchetMS"/>
        </w:rPr>
        <w:t>Posteriormente, em 2000, a ligação entre a igualdade de género e o empoderamento das mulheres foi oficialmente ratificada, constituindo-se ambos, em conjunto, como o conteúdo do terceiro Objetivo de Desenvolvimento do Milénio adotados pela comunidade internacional na Assembleia Geral das Nações Unidas. Desde então, o empoderamento tem sido parte da construção da igualdade entre mulheres e homens, no sentido de que as caraterísticas mais solidamente estruturante das identidades de género dentro de um de um sistema patriarcal, é o elo de dominação-dependência e, portanto, a igualdade não pode ser alcançada sem uma rutura de tal submissão e sem geração de uma consciência de liberdade para as mulheres.</w:t>
      </w:r>
    </w:p>
    <w:p w:rsidR="002D786A" w:rsidRPr="00C90523" w:rsidRDefault="002D786A" w:rsidP="002D786A">
      <w:pPr>
        <w:autoSpaceDE w:val="0"/>
        <w:autoSpaceDN w:val="0"/>
        <w:adjustRightInd w:val="0"/>
        <w:spacing w:after="0"/>
        <w:jc w:val="both"/>
        <w:rPr>
          <w:rFonts w:cs="TrebuchetMS"/>
        </w:rPr>
      </w:pPr>
    </w:p>
    <w:p w:rsidR="002D786A" w:rsidRPr="00C90523" w:rsidRDefault="002D786A" w:rsidP="002D786A">
      <w:pPr>
        <w:autoSpaceDE w:val="0"/>
        <w:autoSpaceDN w:val="0"/>
        <w:adjustRightInd w:val="0"/>
        <w:spacing w:after="0"/>
        <w:rPr>
          <w:rFonts w:ascii="Arial" w:hAnsi="Arial" w:cs="Arial"/>
          <w:b/>
          <w:i/>
          <w:color w:val="000000" w:themeColor="text1"/>
          <w:u w:val="single"/>
        </w:rPr>
      </w:pPr>
    </w:p>
    <w:p w:rsidR="002D786A" w:rsidRPr="00C90523" w:rsidRDefault="006568A3" w:rsidP="00E60FC4">
      <w:pPr>
        <w:pStyle w:val="Cabealho3"/>
      </w:pPr>
      <w:bookmarkStart w:id="10" w:name="_Toc406667265"/>
      <w:r w:rsidRPr="006568A3">
        <w:t>2.1.5. Igualdade de género, economia productiva e reproductiva</w:t>
      </w:r>
      <w:bookmarkEnd w:id="10"/>
      <w:r w:rsidRPr="006568A3">
        <w:t xml:space="preserve"> </w:t>
      </w:r>
    </w:p>
    <w:p w:rsidR="002D786A" w:rsidRPr="00C90523" w:rsidRDefault="002D786A" w:rsidP="002D786A">
      <w:pPr>
        <w:spacing w:after="0"/>
        <w:rPr>
          <w:rFonts w:ascii="Arial" w:hAnsi="Arial" w:cs="Arial"/>
          <w:b/>
          <w:i/>
          <w:u w:val="single"/>
        </w:rPr>
      </w:pPr>
    </w:p>
    <w:p w:rsidR="0021054F" w:rsidRPr="00C90523" w:rsidRDefault="006568A3" w:rsidP="000D287C">
      <w:pPr>
        <w:jc w:val="both"/>
        <w:rPr>
          <w:rFonts w:ascii="Arial" w:hAnsi="Arial" w:cs="Arial"/>
          <w:b/>
        </w:rPr>
      </w:pPr>
      <w:r w:rsidRPr="006568A3">
        <w:rPr>
          <w:rFonts w:ascii="Calibri" w:hAnsi="Calibri" w:cs="Calibri"/>
        </w:rPr>
        <w:t xml:space="preserve">Em todas as sociedades são desenvolvidas actividades de produção de bens e serviços orientadas para o mercado. É o que se conhece como </w:t>
      </w:r>
      <w:r w:rsidRPr="006568A3">
        <w:rPr>
          <w:rFonts w:ascii="Calibri" w:hAnsi="Calibri" w:cs="Calibri"/>
          <w:b/>
        </w:rPr>
        <w:t>economia productiva</w:t>
      </w:r>
      <w:r w:rsidRPr="006568A3">
        <w:rPr>
          <w:rFonts w:ascii="Calibri" w:hAnsi="Calibri" w:cs="Calibri"/>
        </w:rPr>
        <w:t>, que normalmente se situa na “esfera pública”, pelo que é econ</w:t>
      </w:r>
      <w:r w:rsidR="00C90523">
        <w:rPr>
          <w:rFonts w:ascii="Calibri" w:hAnsi="Calibri" w:cs="Calibri"/>
        </w:rPr>
        <w:t>o</w:t>
      </w:r>
      <w:r w:rsidRPr="006568A3">
        <w:rPr>
          <w:rFonts w:ascii="Calibri" w:hAnsi="Calibri" w:cs="Calibri"/>
        </w:rPr>
        <w:t>micamente valorado, simbólicamente prestigiante e geralmente remunerado</w:t>
      </w:r>
      <w:r w:rsidR="00C90523">
        <w:rPr>
          <w:rFonts w:ascii="Calibri" w:hAnsi="Calibri" w:cs="Calibri"/>
        </w:rPr>
        <w:t>.</w:t>
      </w:r>
      <w:r w:rsidRPr="006568A3">
        <w:rPr>
          <w:rStyle w:val="Refdenotaderodap"/>
          <w:rFonts w:ascii="Calibri" w:hAnsi="Calibri" w:cs="Calibri"/>
        </w:rPr>
        <w:footnoteReference w:id="14"/>
      </w:r>
      <w:r w:rsidRPr="006568A3">
        <w:rPr>
          <w:rFonts w:ascii="Calibri" w:hAnsi="Calibri" w:cs="Calibri"/>
        </w:rPr>
        <w:t xml:space="preserve">  No entanto, diariamente uma grande quantidade de tempo e esforço é dedicado às múltiplas atividades que permitem regenerar e cuidar do bem-estar físico e emocional das pessoas, entre as quais se incluem tarefas como: a gestão dos espaços e bens domésticos, o cuidado dos corpos, a formação das pessoas, a manutenção das relações sociais ou de apoio psicológico para os familiares e pessoas de nosso entorno. Essas atividades garantem a reprodução das pessoas e são, por tanto, fundamentais para a manter as condições de sustentabilidade do sistema económico e para garantir o bem</w:t>
      </w:r>
      <w:r w:rsidR="00C90523">
        <w:rPr>
          <w:rFonts w:ascii="Calibri" w:hAnsi="Calibri" w:cs="Calibri"/>
        </w:rPr>
        <w:t>-</w:t>
      </w:r>
      <w:r w:rsidRPr="006568A3">
        <w:rPr>
          <w:rFonts w:ascii="Calibri" w:hAnsi="Calibri" w:cs="Calibri"/>
        </w:rPr>
        <w:t xml:space="preserve">estar e a qualidade de vida da sociedade no seu conjunto. É o que se conhece como </w:t>
      </w:r>
      <w:r w:rsidRPr="006568A3">
        <w:rPr>
          <w:rFonts w:ascii="Calibri" w:hAnsi="Calibri" w:cs="Calibri"/>
          <w:b/>
        </w:rPr>
        <w:t xml:space="preserve">economía reprodutiva. </w:t>
      </w:r>
      <w:bookmarkStart w:id="11" w:name="_Toc394581538"/>
    </w:p>
    <w:p w:rsidR="00A12DFC" w:rsidRDefault="00A12DFC">
      <w:pPr>
        <w:rPr>
          <w:rFonts w:cs="Arial"/>
          <w:b/>
          <w:sz w:val="20"/>
          <w:szCs w:val="20"/>
        </w:rPr>
      </w:pPr>
      <w:r>
        <w:rPr>
          <w:rFonts w:cs="Arial"/>
          <w:b/>
          <w:sz w:val="20"/>
          <w:szCs w:val="20"/>
        </w:rPr>
        <w:br w:type="page"/>
      </w:r>
    </w:p>
    <w:p w:rsidR="002D786A" w:rsidRPr="00C90523" w:rsidRDefault="006568A3" w:rsidP="002D786A">
      <w:pPr>
        <w:jc w:val="center"/>
        <w:rPr>
          <w:rFonts w:cs="Arial"/>
          <w:bCs/>
          <w:sz w:val="20"/>
          <w:szCs w:val="20"/>
        </w:rPr>
      </w:pPr>
      <w:r w:rsidRPr="006568A3">
        <w:rPr>
          <w:rFonts w:cs="Arial"/>
          <w:b/>
          <w:sz w:val="20"/>
          <w:szCs w:val="20"/>
        </w:rPr>
        <w:t xml:space="preserve">Figura </w:t>
      </w:r>
      <w:r w:rsidR="00F202BB" w:rsidRPr="00C90523">
        <w:rPr>
          <w:rFonts w:cs="Arial"/>
          <w:b/>
          <w:sz w:val="20"/>
          <w:szCs w:val="20"/>
        </w:rPr>
        <w:fldChar w:fldCharType="begin"/>
      </w:r>
      <w:r w:rsidRPr="006568A3">
        <w:rPr>
          <w:rFonts w:cs="Arial"/>
          <w:b/>
          <w:sz w:val="20"/>
          <w:szCs w:val="20"/>
        </w:rPr>
        <w:instrText xml:space="preserve"> SEQ Figura \* ARABIC </w:instrText>
      </w:r>
      <w:r w:rsidR="00F202BB" w:rsidRPr="00C90523">
        <w:rPr>
          <w:rFonts w:cs="Arial"/>
          <w:b/>
          <w:sz w:val="20"/>
          <w:szCs w:val="20"/>
        </w:rPr>
        <w:fldChar w:fldCharType="separate"/>
      </w:r>
      <w:r w:rsidRPr="006568A3">
        <w:rPr>
          <w:rFonts w:cs="Arial"/>
          <w:b/>
          <w:noProof/>
          <w:sz w:val="20"/>
          <w:szCs w:val="20"/>
        </w:rPr>
        <w:t>1</w:t>
      </w:r>
      <w:r w:rsidR="00F202BB" w:rsidRPr="00C90523">
        <w:rPr>
          <w:rFonts w:cs="Arial"/>
          <w:b/>
          <w:sz w:val="20"/>
          <w:szCs w:val="20"/>
        </w:rPr>
        <w:fldChar w:fldCharType="end"/>
      </w:r>
      <w:r w:rsidRPr="006568A3">
        <w:rPr>
          <w:rFonts w:cs="Arial"/>
          <w:sz w:val="20"/>
          <w:szCs w:val="20"/>
        </w:rPr>
        <w:t xml:space="preserve">. </w:t>
      </w:r>
      <w:r w:rsidRPr="006568A3">
        <w:rPr>
          <w:rFonts w:cs="Arial"/>
          <w:bCs/>
          <w:sz w:val="20"/>
          <w:szCs w:val="20"/>
        </w:rPr>
        <w:t xml:space="preserve"> Esquema da Economia do Trabalho</w:t>
      </w:r>
      <w:bookmarkEnd w:id="11"/>
    </w:p>
    <w:p w:rsidR="002D786A" w:rsidRPr="00C90523" w:rsidRDefault="002D786A" w:rsidP="002D786A">
      <w:pPr>
        <w:tabs>
          <w:tab w:val="num" w:pos="1440"/>
        </w:tabs>
        <w:spacing w:line="360" w:lineRule="auto"/>
        <w:jc w:val="center"/>
        <w:rPr>
          <w:rFonts w:ascii="Arial" w:hAnsi="Arial" w:cs="Arial"/>
        </w:rPr>
      </w:pPr>
      <w:r w:rsidRPr="00C90523">
        <w:rPr>
          <w:rFonts w:ascii="Arial" w:hAnsi="Arial" w:cs="Arial"/>
        </w:rPr>
        <w:object w:dxaOrig="2772" w:dyaOrig="2070">
          <v:shape id="_x0000_i1027" type="#_x0000_t75" style="width:308.4pt;height:174.6pt" o:ole="">
            <v:imagedata r:id="rId9" o:title=""/>
          </v:shape>
          <o:OLEObject Type="Embed" ProgID="PowerPoint.Slide.12" ShapeID="_x0000_i1027" DrawAspect="Content" ObjectID="_1538235878" r:id="rId10"/>
        </w:object>
      </w:r>
    </w:p>
    <w:p w:rsidR="002D786A" w:rsidRPr="00C90523" w:rsidRDefault="006568A3" w:rsidP="002D786A">
      <w:pPr>
        <w:spacing w:after="0" w:line="240" w:lineRule="auto"/>
        <w:rPr>
          <w:rFonts w:ascii="Arial" w:hAnsi="Arial" w:cs="Arial"/>
          <w:bCs/>
          <w:sz w:val="20"/>
        </w:rPr>
      </w:pPr>
      <w:r w:rsidRPr="006568A3">
        <w:rPr>
          <w:rFonts w:ascii="Arial" w:hAnsi="Arial" w:cs="Arial"/>
          <w:b/>
          <w:bCs/>
          <w:sz w:val="20"/>
        </w:rPr>
        <w:t>Fonte</w:t>
      </w:r>
      <w:r w:rsidRPr="006568A3">
        <w:rPr>
          <w:rFonts w:ascii="Arial" w:hAnsi="Arial" w:cs="Arial"/>
          <w:bCs/>
          <w:sz w:val="20"/>
        </w:rPr>
        <w:t xml:space="preserve">: INE (2012): </w:t>
      </w:r>
      <w:r w:rsidRPr="006568A3">
        <w:rPr>
          <w:rFonts w:ascii="Arial" w:hAnsi="Arial" w:cs="Arial"/>
          <w:bCs/>
          <w:i/>
          <w:sz w:val="20"/>
        </w:rPr>
        <w:t>Inquérito Multi-objectivo Contínuo. Relatório do Módulo Uso do Tempo e Trabalho Não Remunerado.</w:t>
      </w:r>
      <w:r w:rsidR="002D786A" w:rsidRPr="00C90523">
        <w:rPr>
          <w:rStyle w:val="Refdenotaderodap"/>
          <w:rFonts w:ascii="Arial" w:hAnsi="Arial" w:cs="Arial"/>
          <w:bCs/>
          <w:i/>
        </w:rPr>
        <w:footnoteReference w:id="15"/>
      </w:r>
      <w:r w:rsidRPr="006568A3">
        <w:rPr>
          <w:rFonts w:ascii="Arial" w:hAnsi="Arial" w:cs="Arial"/>
          <w:bCs/>
          <w:i/>
          <w:sz w:val="20"/>
        </w:rPr>
        <w:t xml:space="preserve"> </w:t>
      </w:r>
    </w:p>
    <w:p w:rsidR="002D786A" w:rsidRPr="00C90523" w:rsidRDefault="002D786A" w:rsidP="002D786A">
      <w:pPr>
        <w:jc w:val="both"/>
        <w:rPr>
          <w:rFonts w:ascii="Calibri" w:hAnsi="Calibri" w:cs="Calibri"/>
          <w:color w:val="FF0000"/>
        </w:rPr>
      </w:pPr>
    </w:p>
    <w:p w:rsidR="002D786A" w:rsidRPr="00C90523" w:rsidRDefault="006568A3" w:rsidP="002D786A">
      <w:pPr>
        <w:jc w:val="both"/>
        <w:rPr>
          <w:rFonts w:ascii="Calibri" w:hAnsi="Calibri" w:cs="Calibri"/>
        </w:rPr>
      </w:pPr>
      <w:r w:rsidRPr="006568A3">
        <w:rPr>
          <w:rFonts w:ascii="Calibri" w:hAnsi="Calibri" w:cs="Calibri"/>
        </w:rPr>
        <w:t xml:space="preserve">A maioria do trabalho reprodutivo é feito sem remuneração e, em consequência, não é incluído nas contas nacionais, ficando invisível para o sistema económico e para a tomada de decisões sobre as políticas publicas, em particular, as políticas económicas. Os estudos de uso de tempo mostram também como, na atualidade, esse trabalho é feito maioritariamente no interior dos agregados domésticos e pelas mulheres, já que os papeis e estereótipos de género lhes têm atribuído essas responsabilidades como parte da divisão sexual do trabalho. Além disso, a atual repartição do trabalho reprodutivo evidencia desigualdades económicas, porque as pessoas com melhor situação podem pagar por uma parte desse trabalho (por exemplo através do emprego doméstico, pagar uma creche, etc..), enquanto as pessoas em situação de maior desvantagem não podem. Como resultado, produz-se um círculo vicioso: as mulheres em pior situação económica têm uma maior carga de trabalho reprodutivo que deixa menos tempo para poder se dedicar ao trabalho produtivo, a uma melhor formação, procura de emprego, etc., em definitiva gerar condições para sair da pobreza. </w:t>
      </w:r>
    </w:p>
    <w:p w:rsidR="002D786A" w:rsidRPr="00C90523" w:rsidRDefault="008375FD" w:rsidP="002D786A">
      <w:pPr>
        <w:spacing w:after="0"/>
        <w:jc w:val="both"/>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-877570</wp:posOffset>
                </wp:positionV>
                <wp:extent cx="3552190" cy="2988945"/>
                <wp:effectExtent l="0" t="0" r="0" b="2540"/>
                <wp:wrapSquare wrapText="bothSides"/>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2988945"/>
                        </a:xfrm>
                        <a:prstGeom prst="rect">
                          <a:avLst/>
                        </a:prstGeom>
                        <a:solidFill>
                          <a:srgbClr val="FFFFFF"/>
                        </a:solidFill>
                        <a:ln w="9525">
                          <a:solidFill>
                            <a:srgbClr val="000000"/>
                          </a:solidFill>
                          <a:miter lim="800000"/>
                          <a:headEnd/>
                          <a:tailEnd/>
                        </a:ln>
                      </wps:spPr>
                      <wps:txbx>
                        <w:txbxContent>
                          <w:p w:rsidR="008A7270" w:rsidRDefault="008A7270" w:rsidP="00D85D74">
                            <w:pPr>
                              <w:spacing w:after="0"/>
                              <w:jc w:val="center"/>
                              <w:rPr>
                                <w:rFonts w:cs="Arial"/>
                                <w:bCs/>
                                <w:sz w:val="20"/>
                                <w:szCs w:val="20"/>
                                <w:lang w:val="pt-BR"/>
                              </w:rPr>
                            </w:pPr>
                            <w:r w:rsidRPr="00D85D74">
                              <w:rPr>
                                <w:rFonts w:cs="Arial"/>
                                <w:b/>
                                <w:sz w:val="20"/>
                                <w:szCs w:val="20"/>
                                <w:lang w:val="pt-BR"/>
                              </w:rPr>
                              <w:t>Figura 2</w:t>
                            </w:r>
                            <w:r w:rsidRPr="00D85D74">
                              <w:rPr>
                                <w:rFonts w:cs="Arial"/>
                                <w:sz w:val="20"/>
                                <w:szCs w:val="20"/>
                                <w:lang w:val="pt-BR"/>
                              </w:rPr>
                              <w:t xml:space="preserve">. </w:t>
                            </w:r>
                            <w:r w:rsidRPr="00D85D74">
                              <w:rPr>
                                <w:rFonts w:cs="Arial"/>
                                <w:bCs/>
                                <w:sz w:val="20"/>
                                <w:szCs w:val="20"/>
                                <w:lang w:val="pt-BR"/>
                              </w:rPr>
                              <w:t>Círculo vicioso trabalho reprodutivo-pobrez-desigualdade de género</w:t>
                            </w:r>
                          </w:p>
                          <w:p w:rsidR="008A7270" w:rsidRPr="00D85D74" w:rsidRDefault="008A7270" w:rsidP="00D85D74">
                            <w:pPr>
                              <w:spacing w:after="0"/>
                              <w:jc w:val="center"/>
                              <w:rPr>
                                <w:rFonts w:cs="Arial"/>
                                <w:bCs/>
                                <w:sz w:val="20"/>
                                <w:szCs w:val="20"/>
                                <w:lang w:val="pt-BR"/>
                              </w:rPr>
                            </w:pPr>
                          </w:p>
                          <w:p w:rsidR="008A7270" w:rsidRPr="00D85D74" w:rsidRDefault="008A7270">
                            <w:pPr>
                              <w:rPr>
                                <w:lang w:val="pt-BR"/>
                              </w:rPr>
                            </w:pPr>
                            <w:r>
                              <w:rPr>
                                <w:rFonts w:cs="Arial"/>
                                <w:b/>
                                <w:noProof/>
                                <w:sz w:val="20"/>
                                <w:szCs w:val="20"/>
                              </w:rPr>
                              <w:drawing>
                                <wp:inline distT="0" distB="0" distL="0" distR="0">
                                  <wp:extent cx="3162300" cy="2200275"/>
                                  <wp:effectExtent l="0" t="0" r="0" b="9525"/>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160.15pt;margin-top:-69.1pt;width:279.7pt;height:235.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">
                <v:textbox style="mso-fit-shape-to-text:t">
                  <w:txbxContent>
                    <w:p w:rsidR="008A7270" w:rsidRDefault="008A7270" w:rsidP="00D85D74">
                      <w:pPr>
                        <w:spacing w:after="0"/>
                        <w:jc w:val="center"/>
                        <w:rPr>
                          <w:rFonts w:cs="Arial"/>
                          <w:bCs/>
                          <w:sz w:val="20"/>
                          <w:szCs w:val="20"/>
                          <w:lang w:val="pt-BR"/>
                        </w:rPr>
                      </w:pPr>
                      <w:r w:rsidRPr="00D85D74">
                        <w:rPr>
                          <w:rFonts w:cs="Arial"/>
                          <w:b/>
                          <w:sz w:val="20"/>
                          <w:szCs w:val="20"/>
                          <w:lang w:val="pt-BR"/>
                        </w:rPr>
                        <w:t>Figura 2</w:t>
                      </w:r>
                      <w:r w:rsidRPr="00D85D74">
                        <w:rPr>
                          <w:rFonts w:cs="Arial"/>
                          <w:sz w:val="20"/>
                          <w:szCs w:val="20"/>
                          <w:lang w:val="pt-BR"/>
                        </w:rPr>
                        <w:t xml:space="preserve">. </w:t>
                      </w:r>
                      <w:r w:rsidRPr="00D85D74">
                        <w:rPr>
                          <w:rFonts w:cs="Arial"/>
                          <w:bCs/>
                          <w:sz w:val="20"/>
                          <w:szCs w:val="20"/>
                          <w:lang w:val="pt-BR"/>
                        </w:rPr>
                        <w:t>Círculo vicioso trabalho reprodutivo-pobrez-desigualdade de género</w:t>
                      </w:r>
                    </w:p>
                    <w:p w:rsidR="008A7270" w:rsidRPr="00D85D74" w:rsidRDefault="008A7270" w:rsidP="00D85D74">
                      <w:pPr>
                        <w:spacing w:after="0"/>
                        <w:jc w:val="center"/>
                        <w:rPr>
                          <w:rFonts w:cs="Arial"/>
                          <w:bCs/>
                          <w:sz w:val="20"/>
                          <w:szCs w:val="20"/>
                          <w:lang w:val="pt-BR"/>
                        </w:rPr>
                      </w:pPr>
                    </w:p>
                    <w:p w:rsidR="008A7270" w:rsidRPr="00D85D74" w:rsidRDefault="008A7270">
                      <w:pPr>
                        <w:rPr>
                          <w:lang w:val="pt-BR"/>
                        </w:rPr>
                      </w:pPr>
                      <w:r>
                        <w:rPr>
                          <w:rFonts w:cs="Arial"/>
                          <w:b/>
                          <w:noProof/>
                          <w:sz w:val="20"/>
                          <w:szCs w:val="20"/>
                        </w:rPr>
                        <w:drawing>
                          <wp:inline distT="0" distB="0" distL="0" distR="0">
                            <wp:extent cx="3162300" cy="2200275"/>
                            <wp:effectExtent l="0" t="0" r="0" b="9525"/>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2" r:qs="rId13" r:cs="rId14"/>
                              </a:graphicData>
                            </a:graphic>
                          </wp:inline>
                        </w:drawing>
                      </w:r>
                    </w:p>
                  </w:txbxContent>
                </v:textbox>
                <w10:wrap type="square"/>
              </v:shape>
            </w:pict>
          </mc:Fallback>
        </mc:AlternateContent>
      </w:r>
      <w:r w:rsidR="006568A3" w:rsidRPr="006568A3">
        <w:rPr>
          <w:rFonts w:ascii="Calibri" w:hAnsi="Calibri" w:cs="Calibri"/>
          <w:noProof/>
        </w:rPr>
        <w:t>S</w:t>
      </w:r>
      <w:r w:rsidR="006568A3" w:rsidRPr="006568A3">
        <w:rPr>
          <w:rFonts w:ascii="Calibri" w:hAnsi="Calibri" w:cs="Calibri"/>
        </w:rPr>
        <w:t>endo o trabalho reprodutivo um trabalho fundamental para a procura de bem-estar e o funcionamento do sistema económico no seu conjunto, a forma como actualmente está repartido constitui-se como uma das causas fundamentais das desigualdades económicas e de género, e portanto, não é possível estabelecer uma abordagem eficaz na luta contra a pobreza e desigualdade de género sem procurar uma maior corresponsabilidade na esfera da economia reprodutiva. Por um lado entre homens e mulheres, no interior dos agregados familiares, mas também do Estado e do sector privado, atravès da provisão de serviços de apoio e de cuidados, e a facilitação de tempos para a conciliação entre a vida pessoal e laboral.</w:t>
      </w:r>
    </w:p>
    <w:p w:rsidR="002D786A" w:rsidRPr="00C90523" w:rsidRDefault="002D786A" w:rsidP="002D786A"/>
    <w:p w:rsidR="001265F0" w:rsidRPr="00C90523" w:rsidRDefault="006568A3" w:rsidP="001265F0">
      <w:pPr>
        <w:pStyle w:val="Cabealho2"/>
      </w:pPr>
      <w:bookmarkStart w:id="12" w:name="_Toc406667266"/>
      <w:r w:rsidRPr="006568A3">
        <w:t>2.2. O QUE É E PARA QUE É UM PLANO PARA A IGUALDADE DE GÉNERO?</w:t>
      </w:r>
      <w:bookmarkEnd w:id="12"/>
    </w:p>
    <w:p w:rsidR="00907BC5" w:rsidRPr="00C90523" w:rsidRDefault="00907BC5" w:rsidP="001222FF">
      <w:pPr>
        <w:autoSpaceDE w:val="0"/>
        <w:autoSpaceDN w:val="0"/>
        <w:adjustRightInd w:val="0"/>
        <w:spacing w:after="0"/>
        <w:jc w:val="both"/>
        <w:rPr>
          <w:rFonts w:cs="TimesNewRomanPSMT"/>
        </w:rPr>
      </w:pPr>
    </w:p>
    <w:p w:rsidR="001222FF" w:rsidRPr="00C90523" w:rsidRDefault="006568A3" w:rsidP="00907BC5">
      <w:pPr>
        <w:autoSpaceDE w:val="0"/>
        <w:autoSpaceDN w:val="0"/>
        <w:adjustRightInd w:val="0"/>
        <w:spacing w:after="120"/>
        <w:jc w:val="both"/>
        <w:rPr>
          <w:rFonts w:cs="TimesNewRomanPSMT"/>
        </w:rPr>
      </w:pPr>
      <w:r w:rsidRPr="006568A3">
        <w:rPr>
          <w:rFonts w:cs="TimesNewRomanPSMT"/>
        </w:rPr>
        <w:t>Até ao momento têm sido abordados os seguintes significados vinculados e indispensáveis para a compreensão da igualdade:</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rPr>
      </w:pPr>
      <w:r w:rsidRPr="006568A3">
        <w:rPr>
          <w:rFonts w:cs="TimesNewRomanPSMT"/>
        </w:rPr>
        <w:t>O princípio da igualdade tem a sua expressão máxima na consideração de que os seres humanos, todas e todos, temos o mesmo valor humano.</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rPr>
      </w:pPr>
      <w:r w:rsidRPr="006568A3">
        <w:rPr>
          <w:rFonts w:cs="TimesNewRomanPSMT"/>
        </w:rPr>
        <w:t>O princípio da igualdade é complementado pelo princípio da não-discriminação, que proíbe toda distinção, exclusão, restrição ou preferência baseada em motivos de raça, cor, descendência ou origem nacional ou étnica que tenha por objetivo ou por resultado anular ou restringir o reconhecimento, o gozo ou o exercício, em condições de igualdade, dos direitos humanos e das liberdades fundamentais.</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vanish/>
          <w:specVanish/>
        </w:rPr>
      </w:pPr>
      <w:r w:rsidRPr="006568A3">
        <w:rPr>
          <w:rFonts w:cs="TimesNewRomanPSMT"/>
        </w:rPr>
        <w:t>A compreensão do princípio de igualdade admite a existência de diferenças reais entre as pessoas. São as sociedades quem valorizam hierarquicamente como significativas, ou não, ditas diferenças convertendo-se em desigualdades.</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rPr>
      </w:pPr>
      <w:r w:rsidRPr="006568A3">
        <w:rPr>
          <w:rFonts w:cs="TimesNewRomanPSMT"/>
          <w:color w:val="8064A2" w:themeColor="accent4"/>
          <w:sz w:val="16"/>
          <w:szCs w:val="16"/>
        </w:rPr>
        <w:t xml:space="preserve"> </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rPr>
      </w:pPr>
      <w:r w:rsidRPr="006568A3">
        <w:rPr>
          <w:rFonts w:cs="TimesNewRomanPSMT"/>
        </w:rPr>
        <w:t>A igualdade de direitos é uma das principais bases abrangentes do princípio da igualdade e é o ponto de partida para a sua aplicabilidade, mas não é o suficiente; a igualdade de direitos (ou igualdade nominal) deve concretizar-se nos factos, para passar a ser uma igualdade real (igualdade material ou igualdade como resultado).</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rPr>
      </w:pPr>
      <w:r w:rsidRPr="006568A3">
        <w:rPr>
          <w:rFonts w:cs="TimesNewRomanPSMT"/>
        </w:rPr>
        <w:t>A equidade é um princípio complementar da igualdade e em relação a ela tem um caráter decisivo, uma vez que contribui para a sua realização. A equidade, através de um tratamento equivalente, justo ou diferenciado, permite invalidar ou anular as desvantagens advindas das desigualdades socialmente criadas a partir de diferenças que a sociedade valoriza hierarquicamente.</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MyriadPro-Regular"/>
        </w:rPr>
      </w:pPr>
      <w:r w:rsidRPr="006568A3">
        <w:rPr>
          <w:rFonts w:cs="TrebuchetMS"/>
        </w:rPr>
        <w:t>A transversalização de género, entendida como uma estratégia orientada a que conjunto de políticas públicas tenham efeitos transformadores nas relações de género e contribuam para a</w:t>
      </w:r>
      <w:r w:rsidR="00C90523">
        <w:rPr>
          <w:rFonts w:cs="TrebuchetMS"/>
        </w:rPr>
        <w:t xml:space="preserve"> </w:t>
      </w:r>
      <w:r w:rsidRPr="006568A3">
        <w:rPr>
          <w:rFonts w:cs="TrebuchetMS"/>
        </w:rPr>
        <w:t xml:space="preserve">igualdade, deve ser vista como uma ação necessária e complementar à ação afirmativa, pela qual se estabelecem medidas específicas que favoreçam aos grupos populacionais que </w:t>
      </w:r>
      <w:r w:rsidRPr="006568A3">
        <w:rPr>
          <w:rFonts w:ascii="Arial" w:hAnsi="Arial" w:cs="Arial"/>
          <w:color w:val="242424"/>
          <w:sz w:val="11"/>
          <w:szCs w:val="11"/>
          <w:shd w:val="clear" w:color="auto" w:fill="FFFCCF"/>
        </w:rPr>
        <w:t xml:space="preserve"> </w:t>
      </w:r>
      <w:r w:rsidRPr="006568A3">
        <w:rPr>
          <w:rFonts w:cs="TrebuchetMS"/>
        </w:rPr>
        <w:t>estão em situação de maior desvantagem e exclusão.</w:t>
      </w:r>
    </w:p>
    <w:p w:rsidR="001222FF" w:rsidRPr="00C90523" w:rsidRDefault="006568A3" w:rsidP="00243978">
      <w:pPr>
        <w:pStyle w:val="PargrafodaLista"/>
        <w:numPr>
          <w:ilvl w:val="0"/>
          <w:numId w:val="7"/>
        </w:numPr>
        <w:autoSpaceDE w:val="0"/>
        <w:autoSpaceDN w:val="0"/>
        <w:adjustRightInd w:val="0"/>
        <w:spacing w:after="120"/>
        <w:ind w:left="284" w:hanging="284"/>
        <w:contextualSpacing w:val="0"/>
        <w:jc w:val="both"/>
        <w:rPr>
          <w:rFonts w:cs="TimesNewRomanPSMT"/>
        </w:rPr>
      </w:pPr>
      <w:r w:rsidRPr="006568A3">
        <w:rPr>
          <w:rFonts w:cs="TimesNewRomanPSMT"/>
        </w:rPr>
        <w:t>O empoderamento das mulheres forma parte da construção da igualdade entre mulheres e homens, no sentido de que não podem ser alcançados sem rotura da ordem da hierarquia patriarcal e sem gerar uma consciência de liberdade nas mulheres. Por isso, como parte das políticas públicas de igualdade, a consideração de ações dirigidas a alcançar a autonomia das mulheres nas suas distintas vertentes é um aspeto fundamental.</w:t>
      </w:r>
    </w:p>
    <w:p w:rsidR="001222FF" w:rsidRPr="00C90523" w:rsidRDefault="001222FF" w:rsidP="001222FF">
      <w:pPr>
        <w:autoSpaceDE w:val="0"/>
        <w:autoSpaceDN w:val="0"/>
        <w:adjustRightInd w:val="0"/>
        <w:spacing w:after="0"/>
        <w:rPr>
          <w:rFonts w:ascii="MyriadPro-Regular" w:hAnsi="MyriadPro-Regular" w:cs="MyriadPro-Regular"/>
          <w:sz w:val="20"/>
          <w:szCs w:val="20"/>
        </w:rPr>
      </w:pPr>
    </w:p>
    <w:p w:rsidR="001222FF" w:rsidRPr="00C90523" w:rsidRDefault="006568A3" w:rsidP="001222FF">
      <w:pPr>
        <w:autoSpaceDE w:val="0"/>
        <w:autoSpaceDN w:val="0"/>
        <w:adjustRightInd w:val="0"/>
        <w:spacing w:after="0"/>
        <w:jc w:val="both"/>
        <w:rPr>
          <w:rFonts w:cs="TimesNewRomanPSMT"/>
        </w:rPr>
      </w:pPr>
      <w:r w:rsidRPr="006568A3">
        <w:rPr>
          <w:rFonts w:cs="TimesNewRomanPSMT"/>
        </w:rPr>
        <w:t>Com base nesses conceitos, as políticas de igualdade de género são definidos como o conjunto de princípios, normas e objetivos formulados explicitamente (através de fórmulas técnicas, jurídicas e administrativas) e sancionados pelo Estado (autoridades públicas), dirigidas à consecuç</w:t>
      </w:r>
      <w:r w:rsidRPr="006568A3">
        <w:rPr>
          <w:rFonts w:cs="TrebuchetMS"/>
        </w:rPr>
        <w:t>ã</w:t>
      </w:r>
      <w:r w:rsidRPr="006568A3">
        <w:rPr>
          <w:rFonts w:cs="TimesNewRomanPSMT"/>
        </w:rPr>
        <w:t>o da igualdade de fato e de direito de mulheres e homens.</w:t>
      </w:r>
    </w:p>
    <w:p w:rsidR="001222FF" w:rsidRPr="00C90523" w:rsidRDefault="001222FF" w:rsidP="001222FF">
      <w:pPr>
        <w:autoSpaceDE w:val="0"/>
        <w:autoSpaceDN w:val="0"/>
        <w:adjustRightInd w:val="0"/>
        <w:spacing w:after="0" w:line="240" w:lineRule="auto"/>
        <w:rPr>
          <w:rFonts w:ascii="TimesNewRomanPSMT" w:hAnsi="TimesNewRomanPSMT" w:cs="TimesNewRomanPSMT"/>
          <w:color w:val="808080" w:themeColor="background1" w:themeShade="80"/>
        </w:rPr>
      </w:pPr>
    </w:p>
    <w:p w:rsidR="001222FF" w:rsidRPr="00C90523" w:rsidRDefault="008375FD" w:rsidP="001222FF">
      <w:pPr>
        <w:autoSpaceDE w:val="0"/>
        <w:autoSpaceDN w:val="0"/>
        <w:adjustRightInd w:val="0"/>
        <w:spacing w:after="0" w:line="240" w:lineRule="auto"/>
        <w:rPr>
          <w:rFonts w:ascii="TimesNewRomanPSMT" w:hAnsi="TimesNewRomanPSMT" w:cs="TimesNewRomanPSMT"/>
          <w:color w:val="808080" w:themeColor="background1" w:themeShade="80"/>
        </w:rPr>
      </w:pPr>
      <w:r>
        <w:rPr>
          <w:rFonts w:ascii="Arial" w:hAnsi="Arial" w:cs="Arial"/>
          <w:b/>
          <w:i/>
          <w:noProof/>
          <w:u w:val="single"/>
        </w:rPr>
        <mc:AlternateContent>
          <mc:Choice Requires="wps">
            <w:drawing>
              <wp:inline distT="0" distB="0" distL="0" distR="0">
                <wp:extent cx="5644515" cy="2272030"/>
                <wp:effectExtent l="19050" t="19050" r="32385" b="520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272030"/>
                        </a:xfrm>
                        <a:prstGeom prst="rect">
                          <a:avLst/>
                        </a:prstGeom>
                        <a:solidFill>
                          <a:schemeClr val="accent1">
                            <a:lumMod val="40000"/>
                            <a:lumOff val="60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8A7270" w:rsidRPr="001222FF" w:rsidRDefault="008A7270" w:rsidP="001222FF">
                            <w:pPr>
                              <w:autoSpaceDE w:val="0"/>
                              <w:autoSpaceDN w:val="0"/>
                              <w:adjustRightInd w:val="0"/>
                              <w:spacing w:after="0" w:line="240" w:lineRule="auto"/>
                              <w:jc w:val="center"/>
                              <w:rPr>
                                <w:rFonts w:cs="Sabon-Roman"/>
                                <w:color w:val="8064A2" w:themeColor="accent4"/>
                                <w:sz w:val="20"/>
                                <w:szCs w:val="20"/>
                                <w:lang w:val="pt-BR"/>
                              </w:rPr>
                            </w:pPr>
                            <w:r w:rsidRPr="001222FF">
                              <w:rPr>
                                <w:rFonts w:cs="Frutiger-Black"/>
                                <w:b/>
                                <w:bCs/>
                                <w:color w:val="548DD4" w:themeColor="text2" w:themeTint="99"/>
                                <w:sz w:val="28"/>
                                <w:szCs w:val="28"/>
                                <w:lang w:val="pt-BR"/>
                              </w:rPr>
                              <w:t>O QUE É UM PLANO PARA A IGUALDADE DE GÉNERO?</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É uma ferramenta integral para lidar com as desigualdades e discriminações que afetam as mulheres. Esta ferramenta envolve o desenvolvimento de políticas, mecanismos e atuações para combater todas as formas de discriminação e promover a igualdade real e efectiva;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É um roteiro que permite a união de esforços  para a igualdade entre as instituições públicas e a sociedade civil;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É uma proposta de desenvolvimento para a implementação de políticas públicas que aliem ações específicas e transversais para alcançar a igualdade de género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 É um quadro político e um instrumento de ação das instituições públicas e da sociedade.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É um compromisso de governo.</w:t>
                            </w:r>
                          </w:p>
                          <w:p w:rsidR="008A7270" w:rsidRPr="001222FF" w:rsidRDefault="008A7270" w:rsidP="001222FF">
                            <w:pPr>
                              <w:rPr>
                                <w:sz w:val="20"/>
                                <w:szCs w:val="20"/>
                                <w:lang w:val="pt-BR"/>
                              </w:rPr>
                            </w:pPr>
                          </w:p>
                        </w:txbxContent>
                      </wps:txbx>
                      <wps:bodyPr rot="0" vert="horz" wrap="square" lIns="91440" tIns="45720" rIns="91440" bIns="45720" anchor="t" anchorCtr="0" upright="1">
                        <a:noAutofit/>
                      </wps:bodyPr>
                    </wps:wsp>
                  </a:graphicData>
                </a:graphic>
              </wp:inline>
            </w:drawing>
          </mc:Choice>
          <mc:Fallback>
            <w:pict>
              <v:shape id="Text Box 2" o:spid="_x0000_s1029" type="#_x0000_t202" style="width:444.45pt;height:17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" fillcolor="#b8cce4 [1300]" strokecolor="#f2f2f2 [3041]" strokeweight="3pt">
                <v:shadow on="t" color="#205867 [1608]" opacity=".5" offset="1pt"/>
                <v:textbox>
                  <w:txbxContent>
                    <w:p w:rsidR="008A7270" w:rsidRPr="001222FF" w:rsidRDefault="008A7270" w:rsidP="001222FF">
                      <w:pPr>
                        <w:autoSpaceDE w:val="0"/>
                        <w:autoSpaceDN w:val="0"/>
                        <w:adjustRightInd w:val="0"/>
                        <w:spacing w:after="0" w:line="240" w:lineRule="auto"/>
                        <w:jc w:val="center"/>
                        <w:rPr>
                          <w:rFonts w:cs="Sabon-Roman"/>
                          <w:color w:val="8064A2" w:themeColor="accent4"/>
                          <w:sz w:val="20"/>
                          <w:szCs w:val="20"/>
                          <w:lang w:val="pt-BR"/>
                        </w:rPr>
                      </w:pPr>
                      <w:r w:rsidRPr="001222FF">
                        <w:rPr>
                          <w:rFonts w:cs="Frutiger-Black"/>
                          <w:b/>
                          <w:bCs/>
                          <w:color w:val="548DD4" w:themeColor="text2" w:themeTint="99"/>
                          <w:sz w:val="28"/>
                          <w:szCs w:val="28"/>
                          <w:lang w:val="pt-BR"/>
                        </w:rPr>
                        <w:t>O QUE É UM PLANO PARA A IGUALDADE DE GÉNERO?</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É uma ferramenta integral para lidar com as desigualdades e discriminações que afetam as mulheres. Esta ferramenta envolve o desenvolvimento de políticas, mecanismos e atuações para combater todas as formas de discriminação e promover a igualdade real e efectiva;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É um roteiro que permite a união de esforços  para a igualdade entre as instituições públicas e a sociedade civil;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É uma proposta de desenvolvimento para a implementação de políticas públicas que aliem ações específicas e transversais para alcançar a igualdade de género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 xml:space="preserve"> É um quadro político e um instrumento de ação das instituições públicas e da sociedade. </w:t>
                      </w:r>
                    </w:p>
                    <w:p w:rsidR="008A7270" w:rsidRPr="001222FF" w:rsidRDefault="008A7270" w:rsidP="00243978">
                      <w:pPr>
                        <w:pStyle w:val="PargrafodaLista"/>
                        <w:numPr>
                          <w:ilvl w:val="0"/>
                          <w:numId w:val="8"/>
                        </w:numPr>
                        <w:autoSpaceDE w:val="0"/>
                        <w:autoSpaceDN w:val="0"/>
                        <w:adjustRightInd w:val="0"/>
                        <w:spacing w:after="0" w:line="240" w:lineRule="auto"/>
                        <w:rPr>
                          <w:rFonts w:cs="TimesNewRomanPSMT"/>
                          <w:lang w:val="pt-BR"/>
                        </w:rPr>
                      </w:pPr>
                      <w:r w:rsidRPr="001222FF">
                        <w:rPr>
                          <w:rFonts w:cs="TimesNewRomanPSMT"/>
                          <w:lang w:val="pt-BR"/>
                        </w:rPr>
                        <w:t>É um compromisso de governo.</w:t>
                      </w:r>
                    </w:p>
                    <w:p w:rsidR="008A7270" w:rsidRPr="001222FF" w:rsidRDefault="008A7270" w:rsidP="001222FF">
                      <w:pPr>
                        <w:rPr>
                          <w:sz w:val="20"/>
                          <w:szCs w:val="20"/>
                          <w:lang w:val="pt-BR"/>
                        </w:rPr>
                      </w:pPr>
                    </w:p>
                  </w:txbxContent>
                </v:textbox>
                <w10:anchorlock/>
              </v:shape>
            </w:pict>
          </mc:Fallback>
        </mc:AlternateContent>
      </w:r>
    </w:p>
    <w:p w:rsidR="001222FF" w:rsidRPr="00861276" w:rsidRDefault="001222FF" w:rsidP="001222FF">
      <w:pPr>
        <w:rPr>
          <w:rFonts w:cs="Sabon-Roman"/>
          <w:b/>
        </w:rPr>
      </w:pPr>
    </w:p>
    <w:p w:rsidR="001222FF" w:rsidRPr="00C90523" w:rsidRDefault="006568A3" w:rsidP="001222FF">
      <w:pPr>
        <w:autoSpaceDE w:val="0"/>
        <w:autoSpaceDN w:val="0"/>
        <w:adjustRightInd w:val="0"/>
        <w:spacing w:after="0"/>
        <w:jc w:val="both"/>
        <w:rPr>
          <w:rFonts w:cs="Sabon-Roman"/>
          <w:highlight w:val="yellow"/>
        </w:rPr>
      </w:pPr>
      <w:r w:rsidRPr="006568A3">
        <w:rPr>
          <w:rFonts w:cs="Sabon-Roman"/>
        </w:rPr>
        <w:t>Em situações reais de grandes desigualdades e existência de discriminação, não é possível alcançar a igualdade se não se implementam medidas que permitam reverter as primeiras e erradicar as segundas. No caso de Cabo Verde, o PNIG permite também dar cumprimento aos compromissos nacionais e internacionais de direitos humanos em matéria de igualdade de género, abordar as múltiplas discriminações existentes e levantar as restrições que possam subsistir para o pleno exercício dos direitos e da cidadania de homens e mulheres.</w:t>
      </w:r>
    </w:p>
    <w:p w:rsidR="00402A93" w:rsidRPr="00C90523" w:rsidRDefault="00402A93">
      <w:pPr>
        <w:sectPr w:rsidR="00402A93" w:rsidRPr="00C90523" w:rsidSect="00E25EFD">
          <w:pgSz w:w="11906" w:h="17338"/>
          <w:pgMar w:top="1417" w:right="1701" w:bottom="1417" w:left="1701" w:header="720" w:footer="720" w:gutter="0"/>
          <w:cols w:space="720"/>
          <w:noEndnote/>
          <w:titlePg/>
          <w:docGrid w:linePitch="299"/>
        </w:sectPr>
      </w:pPr>
    </w:p>
    <w:p w:rsidR="006923F5" w:rsidRPr="00C90523" w:rsidRDefault="006923F5" w:rsidP="006923F5"/>
    <w:p w:rsidR="006923F5" w:rsidRPr="00C90523" w:rsidRDefault="006923F5" w:rsidP="006923F5"/>
    <w:p w:rsidR="006923F5" w:rsidRPr="00C90523" w:rsidRDefault="006923F5" w:rsidP="006923F5"/>
    <w:p w:rsidR="006923F5" w:rsidRPr="00C90523" w:rsidRDefault="006923F5" w:rsidP="006923F5"/>
    <w:p w:rsidR="006923F5" w:rsidRPr="00C90523" w:rsidRDefault="006923F5" w:rsidP="006923F5"/>
    <w:p w:rsidR="006923F5" w:rsidRPr="00C90523" w:rsidRDefault="006923F5" w:rsidP="006923F5"/>
    <w:p w:rsidR="006923F5" w:rsidRPr="00C90523" w:rsidRDefault="006923F5" w:rsidP="006923F5"/>
    <w:p w:rsidR="006923F5" w:rsidRPr="00C90523" w:rsidRDefault="006568A3" w:rsidP="00147522">
      <w:pPr>
        <w:pStyle w:val="Cabealho1"/>
        <w:jc w:val="center"/>
        <w:rPr>
          <w:sz w:val="52"/>
          <w:szCs w:val="52"/>
        </w:rPr>
      </w:pPr>
      <w:bookmarkStart w:id="13" w:name="_Toc406667267"/>
      <w:r w:rsidRPr="006568A3">
        <w:rPr>
          <w:sz w:val="52"/>
          <w:szCs w:val="52"/>
        </w:rPr>
        <w:t>PARTE II: CONTEXTO DE IMPLEMENTAÇÃO DO PNIG</w:t>
      </w:r>
      <w:bookmarkEnd w:id="13"/>
    </w:p>
    <w:p w:rsidR="00147522" w:rsidRPr="00C90523" w:rsidRDefault="006568A3" w:rsidP="00147522">
      <w:pPr>
        <w:jc w:val="center"/>
        <w:rPr>
          <w:color w:val="002060"/>
        </w:rPr>
      </w:pPr>
      <w:r w:rsidRPr="006568A3">
        <w:rPr>
          <w:color w:val="002060"/>
        </w:rPr>
        <w:t>______________________________________________________________________</w:t>
      </w:r>
    </w:p>
    <w:p w:rsidR="006923F5" w:rsidRPr="00C90523" w:rsidRDefault="006568A3" w:rsidP="006923F5">
      <w:pPr>
        <w:rPr>
          <w:rFonts w:asciiTheme="majorHAnsi" w:eastAsiaTheme="majorEastAsia" w:hAnsiTheme="majorHAnsi" w:cstheme="majorBidi"/>
          <w:b/>
          <w:bCs/>
          <w:color w:val="365F91" w:themeColor="accent1" w:themeShade="BF"/>
          <w:sz w:val="28"/>
          <w:szCs w:val="28"/>
        </w:rPr>
      </w:pPr>
      <w:r w:rsidRPr="006568A3">
        <w:br w:type="page"/>
      </w:r>
    </w:p>
    <w:p w:rsidR="004F127D" w:rsidRPr="00C90523" w:rsidRDefault="00D5795E" w:rsidP="00D5795E">
      <w:pPr>
        <w:pStyle w:val="Cabealho1"/>
        <w:spacing w:before="0" w:line="240" w:lineRule="auto"/>
        <w:rPr>
          <w:rFonts w:asciiTheme="minorHAnsi" w:hAnsiTheme="minorHAnsi"/>
        </w:rPr>
      </w:pPr>
      <w:bookmarkStart w:id="14" w:name="_Toc402442221"/>
      <w:bookmarkStart w:id="15" w:name="_Toc406667268"/>
      <w:r w:rsidRPr="00C90523">
        <w:rPr>
          <w:rFonts w:asciiTheme="minorHAnsi" w:hAnsiTheme="minorHAnsi"/>
        </w:rPr>
        <w:t>1</w:t>
      </w:r>
      <w:r w:rsidR="00E14252" w:rsidRPr="00C90523">
        <w:rPr>
          <w:rFonts w:asciiTheme="minorHAnsi" w:hAnsiTheme="minorHAnsi"/>
        </w:rPr>
        <w:t>.</w:t>
      </w:r>
      <w:r w:rsidRPr="00C90523">
        <w:rPr>
          <w:rFonts w:asciiTheme="minorHAnsi" w:hAnsiTheme="minorHAnsi"/>
        </w:rPr>
        <w:t xml:space="preserve"> </w:t>
      </w:r>
      <w:r w:rsidR="004F127D" w:rsidRPr="00C90523">
        <w:rPr>
          <w:rFonts w:asciiTheme="minorHAnsi" w:hAnsiTheme="minorHAnsi"/>
        </w:rPr>
        <w:t>CONTEXTO DEMOGRÁFICO, SOCIOECONÓMICO E CULTURAL DO PAÍS</w:t>
      </w:r>
      <w:bookmarkEnd w:id="14"/>
      <w:bookmarkEnd w:id="15"/>
    </w:p>
    <w:p w:rsidR="004F127D" w:rsidRPr="00C90523" w:rsidRDefault="004F127D" w:rsidP="00D5795E">
      <w:pPr>
        <w:pStyle w:val="Cabealho2"/>
      </w:pPr>
      <w:bookmarkStart w:id="16" w:name="_Toc402442222"/>
      <w:bookmarkStart w:id="17" w:name="_Toc406667269"/>
      <w:r w:rsidRPr="00861276">
        <w:t>1</w:t>
      </w:r>
      <w:r w:rsidRPr="00C90523">
        <w:t>.1</w:t>
      </w:r>
      <w:r w:rsidR="00E14252" w:rsidRPr="00C90523">
        <w:t>.</w:t>
      </w:r>
      <w:r w:rsidRPr="00C90523">
        <w:t xml:space="preserve"> CONTEXTO DEMOGRÁFICO</w:t>
      </w:r>
      <w:bookmarkEnd w:id="16"/>
      <w:bookmarkEnd w:id="17"/>
      <w:r w:rsidRPr="00C90523">
        <w:t xml:space="preserve"> </w:t>
      </w:r>
    </w:p>
    <w:p w:rsidR="004F127D" w:rsidRPr="00C90523" w:rsidRDefault="004F127D" w:rsidP="00D5795E">
      <w:pPr>
        <w:spacing w:after="0"/>
        <w:jc w:val="both"/>
        <w:rPr>
          <w:rFonts w:cs="Arial"/>
          <w:color w:val="000000"/>
        </w:rPr>
      </w:pPr>
    </w:p>
    <w:p w:rsidR="004F127D" w:rsidRPr="00C90523" w:rsidRDefault="004F127D" w:rsidP="000079EB">
      <w:pPr>
        <w:spacing w:after="0"/>
        <w:jc w:val="both"/>
        <w:rPr>
          <w:rFonts w:cs="Arial"/>
        </w:rPr>
      </w:pPr>
      <w:r w:rsidRPr="00C90523">
        <w:rPr>
          <w:rFonts w:cs="Arial"/>
        </w:rPr>
        <w:t>Ao iniciar o presente plano estratégico, é fundamental caracterizar a situação de partida de mulheres e homens em Cabo Verde. De seguida apresentam-se uma análise dos indicadores socioeconómicos fundamentais, informados com base nas fontes e informações mais recentes. Se por um lado permitem destacar os grandes progressos alcançados em vários domínios da igualdade de género no país, também permitem identificar os principais desafios que persistem.</w:t>
      </w:r>
    </w:p>
    <w:p w:rsidR="000079EB" w:rsidRPr="00C90523" w:rsidRDefault="000079EB" w:rsidP="000079EB">
      <w:pPr>
        <w:spacing w:after="0"/>
        <w:jc w:val="both"/>
        <w:rPr>
          <w:rFonts w:cs="Arial"/>
        </w:rPr>
      </w:pPr>
    </w:p>
    <w:p w:rsidR="004F127D" w:rsidRPr="00C90523" w:rsidRDefault="006568A3" w:rsidP="00D5795E">
      <w:pPr>
        <w:pStyle w:val="Cabealho3"/>
      </w:pPr>
      <w:bookmarkStart w:id="18" w:name="_Toc402442223"/>
      <w:bookmarkStart w:id="19" w:name="_Toc406667270"/>
      <w:r w:rsidRPr="006568A3">
        <w:t>1.1.1. Evolução demográfica</w:t>
      </w:r>
      <w:bookmarkEnd w:id="18"/>
      <w:bookmarkEnd w:id="19"/>
      <w:r w:rsidRPr="006568A3">
        <w:t xml:space="preserve"> </w:t>
      </w:r>
    </w:p>
    <w:p w:rsidR="004F127D" w:rsidRPr="00C90523" w:rsidRDefault="004F127D" w:rsidP="000079EB">
      <w:pPr>
        <w:spacing w:after="0"/>
        <w:jc w:val="both"/>
        <w:rPr>
          <w:rFonts w:cs="Arial"/>
        </w:rPr>
      </w:pPr>
    </w:p>
    <w:p w:rsidR="004F127D" w:rsidRPr="00861276" w:rsidRDefault="004F127D" w:rsidP="000079EB">
      <w:pPr>
        <w:spacing w:after="0"/>
        <w:jc w:val="both"/>
        <w:rPr>
          <w:rFonts w:cs="Arial"/>
        </w:rPr>
      </w:pPr>
      <w:r w:rsidRPr="00C90523">
        <w:rPr>
          <w:rFonts w:cs="Arial"/>
        </w:rPr>
        <w:t>Em 2010 a população residente em Cabo Verde era de 491.683</w:t>
      </w:r>
      <w:r w:rsidRPr="00C90523">
        <w:rPr>
          <w:rStyle w:val="Refdenotaderodap"/>
          <w:rFonts w:cs="Arial"/>
        </w:rPr>
        <w:footnoteReference w:id="16"/>
      </w:r>
      <w:r w:rsidRPr="00C90523">
        <w:rPr>
          <w:rFonts w:cs="Arial"/>
        </w:rPr>
        <w:t xml:space="preserve"> habitantes, sendo 50,5% do sexo feminino e 49,5% do sexo masculino. Ao longo das últimas duas décadas verifica-se globalmente uma tendência no sentido de um maior equilíbrio entre a população feminina e masculi</w:t>
      </w:r>
      <w:r w:rsidRPr="00861276">
        <w:rPr>
          <w:rFonts w:cs="Arial"/>
        </w:rPr>
        <w:t xml:space="preserve">na: em 1990 a relação de feminilidade era de 1,11, passando em 2000 para 1,08, e em 2010 para 1,02. </w:t>
      </w:r>
    </w:p>
    <w:p w:rsidR="004F127D" w:rsidRPr="00C90523" w:rsidRDefault="004F127D" w:rsidP="000079EB">
      <w:pPr>
        <w:spacing w:after="0"/>
        <w:jc w:val="both"/>
        <w:rPr>
          <w:rFonts w:cs="Arial"/>
        </w:rPr>
      </w:pPr>
    </w:p>
    <w:p w:rsidR="004F127D" w:rsidRPr="00C90523" w:rsidRDefault="004F127D" w:rsidP="000079EB">
      <w:pPr>
        <w:spacing w:after="0"/>
        <w:jc w:val="both"/>
        <w:rPr>
          <w:rFonts w:cs="Arial"/>
          <w:color w:val="E36C0A" w:themeColor="accent6" w:themeShade="BF"/>
        </w:rPr>
      </w:pPr>
      <w:r w:rsidRPr="00C90523">
        <w:rPr>
          <w:rFonts w:cs="Arial"/>
        </w:rPr>
        <w:t>Os desequilíbrios demográficos que existem em termos de género manifestam-se essencialmente a partir da idade adulta: de acordo com os dados do Censo 2010, as faixas etárias dos 20 aos 39 anos contam com uma menor proporção de mulheres, que representam, sensivelmente 48% da população dessa idade</w:t>
      </w:r>
      <w:r w:rsidRPr="00C90523">
        <w:rPr>
          <w:rStyle w:val="Refdenotaderodap"/>
          <w:rFonts w:cs="Arial"/>
        </w:rPr>
        <w:footnoteReference w:id="17"/>
      </w:r>
      <w:r w:rsidRPr="00C90523">
        <w:rPr>
          <w:rFonts w:cs="Arial"/>
        </w:rPr>
        <w:t>. Tendência que poderá estar vinculada a processos de imigração, na medida em que os imigrantes que vivem em Cabo</w:t>
      </w:r>
      <w:r w:rsidRPr="00861276">
        <w:rPr>
          <w:rFonts w:cs="Arial"/>
        </w:rPr>
        <w:t xml:space="preserve"> Verde dessa mesma faixa etária (25-39 anos) são na sua larga maioria do sexo masculino. Com efeito, se historicamente Cabo Verde tem sido um país marcado pela emigração, a partir da década de 90 passa a ser também um país de destino.</w:t>
      </w:r>
      <w:r w:rsidRPr="00C90523">
        <w:rPr>
          <w:rStyle w:val="Refdenotaderodap"/>
          <w:rFonts w:cs="Arial"/>
        </w:rPr>
        <w:footnoteReference w:id="18"/>
      </w:r>
      <w:r w:rsidRPr="00C90523">
        <w:rPr>
          <w:rFonts w:cs="Arial"/>
        </w:rPr>
        <w:t xml:space="preserve"> A procura de melhores condições de vida é uma dos principais impulsionadores da mobilidade, quer interna, quer externa, existindo por outro lado múltiplas dimensões de género vinculadas aos processos migratórios, sem esquecer que para as mulheres significam por vezes “</w:t>
      </w:r>
      <w:r w:rsidRPr="00861276">
        <w:rPr>
          <w:rFonts w:cs="Arial"/>
          <w:i/>
        </w:rPr>
        <w:t>a fuga de uma estrutura social patriarcal com rígidas noções em relação à mulher</w:t>
      </w:r>
      <w:r w:rsidRPr="00C90523">
        <w:rPr>
          <w:rFonts w:cs="Arial"/>
        </w:rPr>
        <w:t>”.</w:t>
      </w:r>
      <w:r w:rsidRPr="00C90523">
        <w:rPr>
          <w:rStyle w:val="Refdenotaderodap"/>
          <w:rFonts w:cs="Arial"/>
        </w:rPr>
        <w:footnoteReference w:id="19"/>
      </w:r>
      <w:r w:rsidRPr="00C90523">
        <w:rPr>
          <w:rFonts w:cs="Arial"/>
        </w:rPr>
        <w:t xml:space="preserve"> A nível interno as diferenças de género da população variam de acordo com as ilhas e concelhos de residência: a ilha da Boavista, do Sal e de Santo Antão são as que apresenta maio</w:t>
      </w:r>
      <w:r w:rsidRPr="00861276">
        <w:rPr>
          <w:rFonts w:cs="Arial"/>
        </w:rPr>
        <w:t xml:space="preserve">r proporção de homens, respectivamente cerca de 59%, 54% e 53%, seguindo-se-lhe o concelho de Tarrafal da ilha de São Nicolau (52%). No caso da Boavista e do Sal, as diferenças manifestam-se num contexto de crescimento da população dessas duas </w:t>
      </w:r>
      <w:r w:rsidRPr="00C90523">
        <w:rPr>
          <w:rFonts w:cs="Arial"/>
        </w:rPr>
        <w:t xml:space="preserve">ilhas, enquanto no caso de Santo Antão, num contexto de redução da população da ilha, o que sugere que mais mulheres do que homens têm deixado esta ilha. Dos três concelhos de Santo Antão, o Paul é aquele onde existe menor paridade de género (cerca de 55% da sua população é do sexo masculino). Ao invés, as ilhas de Santiago e do Maio são aquelas em que a proporção de mulheres é maior: no caso de Santiago as proporções são aproximadamente de 55% para os concelhos de </w:t>
      </w:r>
      <w:r w:rsidRPr="00C90523">
        <w:rPr>
          <w:rFonts w:cs="Arial"/>
          <w:color w:val="000000"/>
        </w:rPr>
        <w:t xml:space="preserve">São Miguel e Tarrafal; 53% em Santa Catarina, São Salvador do Mundo e Ribeira Grande de Santiago; e de 52% em São Lourenço dos Órgãos e Santa Cruz. Na ilha do Maio, 51,6% da população é do sexo feminino. </w:t>
      </w:r>
    </w:p>
    <w:p w:rsidR="004F127D" w:rsidRPr="00C90523" w:rsidRDefault="004F127D" w:rsidP="000079EB">
      <w:pPr>
        <w:spacing w:after="0"/>
        <w:jc w:val="both"/>
        <w:rPr>
          <w:rFonts w:cs="Arial"/>
        </w:rPr>
      </w:pPr>
    </w:p>
    <w:p w:rsidR="004F127D" w:rsidRPr="00C90523" w:rsidRDefault="004F127D" w:rsidP="00D5795E">
      <w:pPr>
        <w:spacing w:after="0"/>
        <w:jc w:val="both"/>
        <w:rPr>
          <w:rFonts w:cs="Arial"/>
        </w:rPr>
      </w:pPr>
      <w:r w:rsidRPr="00C90523">
        <w:rPr>
          <w:rFonts w:cs="Arial"/>
        </w:rPr>
        <w:t xml:space="preserve">Ainda na idade adulta, verifica-se que a partir dos 40 anos a proporção de mulheres começa a ser superior à dos homens: as mulheres representam 51% e 52% das faixas etárias dos 40-44 e 45-49 anos, respectivamente, uma tendência que se acentua para as faixas etárias seguintes, atingindo a partir dos 65 anos proporções de 60% ou mais. </w:t>
      </w:r>
    </w:p>
    <w:p w:rsidR="004F127D" w:rsidRPr="00C90523" w:rsidRDefault="004F127D" w:rsidP="00D5795E">
      <w:pPr>
        <w:spacing w:after="0"/>
        <w:jc w:val="both"/>
        <w:rPr>
          <w:rFonts w:cs="Arial"/>
        </w:rPr>
      </w:pPr>
    </w:p>
    <w:p w:rsidR="004F127D" w:rsidRPr="00C90523" w:rsidRDefault="004F127D" w:rsidP="00D5795E">
      <w:pPr>
        <w:shd w:val="clear" w:color="auto" w:fill="FFFFFF"/>
        <w:tabs>
          <w:tab w:val="left" w:pos="966"/>
        </w:tabs>
        <w:spacing w:after="0"/>
        <w:jc w:val="both"/>
        <w:rPr>
          <w:rFonts w:cs="Arial"/>
        </w:rPr>
      </w:pPr>
      <w:r w:rsidRPr="00C90523">
        <w:rPr>
          <w:rFonts w:cs="Arial"/>
        </w:rPr>
        <w:t xml:space="preserve">Globalmente verifica-se uma tendência para o abrandamento do crescimento da população: a taxa de crescimento que foi de 2,4 entre 1990 e 2000, passou para 1,2 entre 2000 e 2010. Tendência que reflecte a diminuição na taxa de fecundidade: o número médio de crianças por mulher passou de 6 a 2,3 entre 1990 e 2010. Em decorrência deste e de outros factores, continua a verificar-se um estreitamento da base da pirâmide populacional em Cabo Verde, bem como um aumento do peso relativo das pessoas em idade activa e dos idosos: </w:t>
      </w:r>
    </w:p>
    <w:p w:rsidR="004F127D" w:rsidRPr="00C90523" w:rsidRDefault="004F127D" w:rsidP="00243978">
      <w:pPr>
        <w:pStyle w:val="PargrafodaLista"/>
        <w:numPr>
          <w:ilvl w:val="0"/>
          <w:numId w:val="14"/>
        </w:numPr>
        <w:shd w:val="clear" w:color="auto" w:fill="FFFFFF"/>
        <w:tabs>
          <w:tab w:val="left" w:pos="966"/>
        </w:tabs>
        <w:spacing w:after="0"/>
        <w:jc w:val="both"/>
        <w:rPr>
          <w:rFonts w:cs="Arial"/>
        </w:rPr>
      </w:pPr>
      <w:r w:rsidRPr="00C90523">
        <w:rPr>
          <w:rFonts w:cs="Arial"/>
        </w:rPr>
        <w:t xml:space="preserve">As crianças (0-14 anos) representam 31,7% da população total em 2010 (42,1% em 2000) </w:t>
      </w:r>
    </w:p>
    <w:p w:rsidR="004F127D" w:rsidRPr="00C90523" w:rsidRDefault="004F127D" w:rsidP="00243978">
      <w:pPr>
        <w:pStyle w:val="PargrafodaLista"/>
        <w:numPr>
          <w:ilvl w:val="0"/>
          <w:numId w:val="14"/>
        </w:numPr>
        <w:shd w:val="clear" w:color="auto" w:fill="FFFFFF"/>
        <w:tabs>
          <w:tab w:val="left" w:pos="966"/>
        </w:tabs>
        <w:spacing w:after="0"/>
        <w:jc w:val="both"/>
        <w:rPr>
          <w:rFonts w:cs="Arial"/>
        </w:rPr>
      </w:pPr>
      <w:r w:rsidRPr="00C90523">
        <w:rPr>
          <w:rFonts w:cs="Arial"/>
        </w:rPr>
        <w:t>Enquanto a população em idade activa (15-64 anos), constitui 61,9% da população total (51,6% em 2000)</w:t>
      </w:r>
    </w:p>
    <w:p w:rsidR="004F127D" w:rsidRPr="00C90523" w:rsidRDefault="004F127D" w:rsidP="00243978">
      <w:pPr>
        <w:pStyle w:val="PargrafodaLista"/>
        <w:numPr>
          <w:ilvl w:val="0"/>
          <w:numId w:val="14"/>
        </w:numPr>
        <w:shd w:val="clear" w:color="auto" w:fill="FFFFFF"/>
        <w:tabs>
          <w:tab w:val="left" w:pos="966"/>
        </w:tabs>
        <w:spacing w:after="0"/>
        <w:jc w:val="both"/>
        <w:rPr>
          <w:rFonts w:cs="Arial"/>
        </w:rPr>
      </w:pPr>
      <w:r w:rsidRPr="00C90523">
        <w:rPr>
          <w:rFonts w:cs="Arial"/>
        </w:rPr>
        <w:t>A população idosa (com 65 anos e mais) representa 6,4% do total: 7,6% das mulheres e 5,1% dos homens (população idosa que representava 5,8% do total em 1990 e 6,3% em 2000)</w:t>
      </w:r>
    </w:p>
    <w:p w:rsidR="004F127D" w:rsidRPr="00C90523" w:rsidRDefault="004F127D" w:rsidP="000079EB">
      <w:pPr>
        <w:spacing w:after="0"/>
        <w:jc w:val="both"/>
        <w:rPr>
          <w:rFonts w:cs="Arial"/>
        </w:rPr>
      </w:pPr>
    </w:p>
    <w:p w:rsidR="004F127D" w:rsidRPr="00C90523" w:rsidRDefault="004F127D" w:rsidP="000079EB">
      <w:pPr>
        <w:tabs>
          <w:tab w:val="left" w:pos="966"/>
        </w:tabs>
        <w:spacing w:after="0"/>
        <w:jc w:val="both"/>
        <w:rPr>
          <w:rFonts w:cs="Arial"/>
        </w:rPr>
      </w:pPr>
      <w:r w:rsidRPr="00C90523">
        <w:rPr>
          <w:rFonts w:cs="Arial"/>
        </w:rPr>
        <w:t xml:space="preserve">Constata-se ainda a continuidade do processo de urbanização, com 61,8% da população a residir em zonas urbanas do país. As mulheres representam 51% da população que reside em meio rural. </w:t>
      </w:r>
    </w:p>
    <w:p w:rsidR="004F127D" w:rsidRPr="00C90523" w:rsidRDefault="004F127D" w:rsidP="004F127D">
      <w:pPr>
        <w:tabs>
          <w:tab w:val="left" w:pos="966"/>
        </w:tabs>
        <w:jc w:val="both"/>
        <w:rPr>
          <w:rFonts w:cs="Arial"/>
        </w:rPr>
      </w:pPr>
    </w:p>
    <w:p w:rsidR="004F127D" w:rsidRPr="00C90523" w:rsidRDefault="006568A3" w:rsidP="00E60FC4">
      <w:pPr>
        <w:pStyle w:val="Cabealho3"/>
      </w:pPr>
      <w:bookmarkStart w:id="20" w:name="_Toc402442224"/>
      <w:bookmarkStart w:id="21" w:name="_Toc406667271"/>
      <w:r w:rsidRPr="006568A3">
        <w:t>1.1.2. Estrutura dos agregados familiares</w:t>
      </w:r>
      <w:bookmarkEnd w:id="20"/>
      <w:bookmarkEnd w:id="21"/>
    </w:p>
    <w:p w:rsidR="004F127D" w:rsidRPr="00C90523" w:rsidRDefault="004F127D" w:rsidP="000079EB">
      <w:pPr>
        <w:spacing w:after="0"/>
        <w:jc w:val="both"/>
        <w:rPr>
          <w:color w:val="000000"/>
        </w:rPr>
      </w:pPr>
    </w:p>
    <w:p w:rsidR="004F127D" w:rsidRPr="00C90523" w:rsidRDefault="004F127D" w:rsidP="000079EB">
      <w:pPr>
        <w:spacing w:after="0"/>
        <w:jc w:val="both"/>
        <w:rPr>
          <w:color w:val="000000"/>
        </w:rPr>
      </w:pPr>
      <w:r w:rsidRPr="00861276">
        <w:rPr>
          <w:color w:val="000000"/>
        </w:rPr>
        <w:t>O tamanho médio dos agregados familiares tem-se mantido - 4,2 em 2010, um valor igual ao de 2000, após se ter verificado uma redução em relação a 1990, quando o tamanho mé</w:t>
      </w:r>
      <w:r w:rsidRPr="00C90523">
        <w:rPr>
          <w:color w:val="000000"/>
        </w:rPr>
        <w:t>dio dos agregados era de 5,1. Os agregados familiares do meio rural continuam tendencialmente um pouco maiores: em média 4,7 pessoas por agregado em relação a 3,9 para os agregados do meio urbano.</w:t>
      </w:r>
    </w:p>
    <w:p w:rsidR="004F127D" w:rsidRPr="00C90523" w:rsidRDefault="004F127D" w:rsidP="000079EB">
      <w:pPr>
        <w:spacing w:after="0"/>
        <w:jc w:val="both"/>
        <w:rPr>
          <w:color w:val="000000"/>
        </w:rPr>
      </w:pPr>
    </w:p>
    <w:p w:rsidR="004F127D" w:rsidRPr="00C90523" w:rsidRDefault="004F127D" w:rsidP="000079EB">
      <w:pPr>
        <w:spacing w:after="0"/>
        <w:jc w:val="both"/>
        <w:rPr>
          <w:color w:val="000000"/>
        </w:rPr>
      </w:pPr>
      <w:r w:rsidRPr="00C90523">
        <w:rPr>
          <w:color w:val="000000"/>
        </w:rPr>
        <w:t xml:space="preserve">Cerca de 48% dos agregados familiares em Cabo Verde indicam que têm um representante </w:t>
      </w:r>
      <w:r w:rsidRPr="00C90523">
        <w:t>feminino, o que representa um aumento em comparação com os dados de 2000 (40%) e de 2005</w:t>
      </w:r>
      <w:r w:rsidRPr="00C90523">
        <w:rPr>
          <w:rStyle w:val="Refdenotaderodap"/>
        </w:rPr>
        <w:footnoteReference w:id="20"/>
      </w:r>
      <w:r w:rsidRPr="00C90523">
        <w:t xml:space="preserve"> (cerca de 46%). No meio rural as mulheres são representantes de 50% dos agregados, o que acontece com cerca de</w:t>
      </w:r>
      <w:r w:rsidRPr="00861276">
        <w:rPr>
          <w:color w:val="000000"/>
        </w:rPr>
        <w:t xml:space="preserve"> 46% dos agregados urbanos. A</w:t>
      </w:r>
      <w:r w:rsidRPr="00C90523">
        <w:rPr>
          <w:color w:val="000000"/>
        </w:rPr>
        <w:t xml:space="preserve"> representação dos agregados varia por outro lado </w:t>
      </w:r>
      <w:r w:rsidRPr="00C90523">
        <w:rPr>
          <w:rFonts w:cs="Arial"/>
        </w:rPr>
        <w:t>de acordo com as ilhas e concelhos de residência: o</w:t>
      </w:r>
      <w:r w:rsidRPr="00C90523">
        <w:rPr>
          <w:color w:val="000000"/>
        </w:rPr>
        <w:t>s concelhos onde a chefia dos agregados é maioritariamente feminina são os do interior da ilha de Santiago: Tarrafal (62,6%), Santa Cruz (57,2%), Santa São Lourenço dos Órgãos (52,4%). Por outro lado, nos três concelhos de Santo Antão, no Sal, na Boavista e em Santa Catarina do Fogo, mais de 60% dos agregados têm um representante masculino, seguindo-se-lhe os demais concelhos do Fogo: São Filipe (57,8%) e Mosteiros (56,7%). Para os restantes concelhos as proporções aproxima-se da média nacional.</w:t>
      </w:r>
    </w:p>
    <w:p w:rsidR="004F127D" w:rsidRPr="00C90523" w:rsidRDefault="004F127D" w:rsidP="000079EB">
      <w:pPr>
        <w:spacing w:after="0"/>
        <w:jc w:val="both"/>
        <w:rPr>
          <w:color w:val="000000"/>
        </w:rPr>
      </w:pPr>
    </w:p>
    <w:p w:rsidR="004F127D" w:rsidRPr="00C90523" w:rsidRDefault="004F127D" w:rsidP="000079EB">
      <w:pPr>
        <w:spacing w:after="0"/>
        <w:jc w:val="both"/>
        <w:rPr>
          <w:color w:val="000000"/>
        </w:rPr>
      </w:pPr>
      <w:r w:rsidRPr="00C90523">
        <w:rPr>
          <w:color w:val="000000"/>
        </w:rPr>
        <w:t xml:space="preserve">Existem diferenças substanciais na tipologia das famílias que são representadas por mulheres e por homens. De acordo com os dados do Censo 2010, globalmente, cerca de 45% dos agregados familiares em Cabo Verde são conjugais. Mais especificamente: </w:t>
      </w:r>
    </w:p>
    <w:p w:rsidR="004F127D" w:rsidRPr="00C90523" w:rsidRDefault="004F127D" w:rsidP="00243978">
      <w:pPr>
        <w:pStyle w:val="PargrafodaLista"/>
        <w:numPr>
          <w:ilvl w:val="0"/>
          <w:numId w:val="15"/>
        </w:numPr>
        <w:spacing w:after="0"/>
        <w:jc w:val="both"/>
        <w:rPr>
          <w:color w:val="000000"/>
        </w:rPr>
      </w:pPr>
      <w:r w:rsidRPr="00C90523">
        <w:rPr>
          <w:rFonts w:cs="Arial"/>
          <w:color w:val="000000"/>
        </w:rPr>
        <w:t>23% são casais com filhos</w:t>
      </w:r>
    </w:p>
    <w:p w:rsidR="004F127D" w:rsidRPr="00C90523" w:rsidRDefault="004F127D" w:rsidP="00243978">
      <w:pPr>
        <w:pStyle w:val="PargrafodaLista"/>
        <w:numPr>
          <w:ilvl w:val="0"/>
          <w:numId w:val="15"/>
        </w:numPr>
        <w:spacing w:after="0"/>
        <w:jc w:val="both"/>
        <w:rPr>
          <w:color w:val="000000"/>
        </w:rPr>
      </w:pPr>
      <w:r w:rsidRPr="00C90523">
        <w:rPr>
          <w:rFonts w:cs="Arial"/>
          <w:color w:val="000000"/>
        </w:rPr>
        <w:t xml:space="preserve">17% são casais com filhos e outros elementos </w:t>
      </w:r>
    </w:p>
    <w:p w:rsidR="004F127D" w:rsidRPr="00C90523" w:rsidRDefault="004F127D" w:rsidP="00243978">
      <w:pPr>
        <w:pStyle w:val="PargrafodaLista"/>
        <w:numPr>
          <w:ilvl w:val="0"/>
          <w:numId w:val="15"/>
        </w:numPr>
        <w:spacing w:after="0"/>
        <w:jc w:val="both"/>
        <w:rPr>
          <w:color w:val="000000"/>
        </w:rPr>
      </w:pPr>
      <w:r w:rsidRPr="00C90523">
        <w:rPr>
          <w:rFonts w:cs="Arial"/>
          <w:color w:val="000000"/>
        </w:rPr>
        <w:t>5%</w:t>
      </w:r>
      <w:r w:rsidRPr="00C90523">
        <w:rPr>
          <w:color w:val="000000"/>
        </w:rPr>
        <w:t xml:space="preserve"> são casais isolados</w:t>
      </w:r>
    </w:p>
    <w:p w:rsidR="004F127D" w:rsidRPr="00C90523" w:rsidRDefault="004F127D" w:rsidP="000079EB">
      <w:pPr>
        <w:spacing w:after="0"/>
        <w:jc w:val="both"/>
        <w:rPr>
          <w:color w:val="000000"/>
        </w:rPr>
      </w:pPr>
    </w:p>
    <w:p w:rsidR="004F127D" w:rsidRPr="00C90523" w:rsidRDefault="004F127D" w:rsidP="000079EB">
      <w:pPr>
        <w:spacing w:after="0"/>
        <w:jc w:val="both"/>
        <w:rPr>
          <w:color w:val="000000"/>
        </w:rPr>
      </w:pPr>
      <w:r w:rsidRPr="00C90523">
        <w:rPr>
          <w:color w:val="000000"/>
        </w:rPr>
        <w:t xml:space="preserve">No caso dos agregados representados por mulheres estas proporções são, respectivamente, de </w:t>
      </w:r>
      <w:r w:rsidRPr="00C90523">
        <w:rPr>
          <w:rFonts w:cs="Arial"/>
          <w:color w:val="000000"/>
        </w:rPr>
        <w:t xml:space="preserve">13%, 10% e </w:t>
      </w:r>
      <w:r w:rsidRPr="00C90523">
        <w:rPr>
          <w:color w:val="000000"/>
        </w:rPr>
        <w:t xml:space="preserve">3%, enquanto nos agregados representados por homens, são de </w:t>
      </w:r>
      <w:r w:rsidRPr="00C90523">
        <w:rPr>
          <w:rFonts w:cs="Arial"/>
          <w:color w:val="000000"/>
        </w:rPr>
        <w:t xml:space="preserve">33%, 24% e </w:t>
      </w:r>
      <w:r w:rsidRPr="00C90523">
        <w:rPr>
          <w:color w:val="000000"/>
        </w:rPr>
        <w:t>7%. Verifica-se assim que os homens são essencialmente representantes em famílias conjugais, mais concretamente em 64% dos casos em que são identificados como representante.</w:t>
      </w:r>
    </w:p>
    <w:p w:rsidR="004F127D" w:rsidRPr="00C90523" w:rsidRDefault="004F127D" w:rsidP="000079EB">
      <w:pPr>
        <w:spacing w:after="0"/>
        <w:jc w:val="both"/>
        <w:rPr>
          <w:color w:val="000000"/>
        </w:rPr>
      </w:pPr>
    </w:p>
    <w:p w:rsidR="004F127D" w:rsidRPr="00C90523" w:rsidRDefault="004F127D" w:rsidP="000079EB">
      <w:pPr>
        <w:spacing w:after="0"/>
        <w:jc w:val="both"/>
        <w:rPr>
          <w:color w:val="000000"/>
        </w:rPr>
      </w:pPr>
      <w:r w:rsidRPr="00C90523">
        <w:rPr>
          <w:color w:val="000000"/>
        </w:rPr>
        <w:t xml:space="preserve">Por outro lado, 38% dos agregados familiares em Cabo Verde são não conjugais: </w:t>
      </w:r>
    </w:p>
    <w:p w:rsidR="004F127D" w:rsidRPr="00C90523" w:rsidRDefault="004F127D" w:rsidP="00243978">
      <w:pPr>
        <w:pStyle w:val="PargrafodaLista"/>
        <w:numPr>
          <w:ilvl w:val="0"/>
          <w:numId w:val="16"/>
        </w:numPr>
        <w:spacing w:after="0"/>
        <w:jc w:val="both"/>
        <w:rPr>
          <w:color w:val="000000"/>
        </w:rPr>
      </w:pPr>
      <w:r w:rsidRPr="00C90523">
        <w:rPr>
          <w:color w:val="000000"/>
        </w:rPr>
        <w:t xml:space="preserve">24% são agregados não conjugais, com representante, filhos e outros elementos </w:t>
      </w:r>
    </w:p>
    <w:p w:rsidR="004F127D" w:rsidRPr="00C90523" w:rsidRDefault="004F127D" w:rsidP="00243978">
      <w:pPr>
        <w:pStyle w:val="PargrafodaLista"/>
        <w:numPr>
          <w:ilvl w:val="0"/>
          <w:numId w:val="16"/>
        </w:numPr>
        <w:spacing w:after="0"/>
        <w:jc w:val="both"/>
        <w:rPr>
          <w:color w:val="000000"/>
        </w:rPr>
      </w:pPr>
      <w:r w:rsidRPr="00C90523">
        <w:rPr>
          <w:color w:val="000000"/>
        </w:rPr>
        <w:t>14% são agregados monoparentais, proporção que, globalmente, representa uma redução em relação a 2000, em que os agregados monoparentais representavam 16,7% do total dos agregados</w:t>
      </w:r>
    </w:p>
    <w:p w:rsidR="004F127D" w:rsidRPr="00C90523" w:rsidRDefault="004F127D" w:rsidP="000079EB">
      <w:pPr>
        <w:spacing w:after="0"/>
        <w:jc w:val="both"/>
        <w:rPr>
          <w:color w:val="000000"/>
        </w:rPr>
      </w:pPr>
    </w:p>
    <w:p w:rsidR="004F127D" w:rsidRPr="00C90523" w:rsidRDefault="004F127D" w:rsidP="000079EB">
      <w:pPr>
        <w:spacing w:after="0"/>
        <w:jc w:val="both"/>
        <w:rPr>
          <w:color w:val="000000"/>
        </w:rPr>
      </w:pPr>
      <w:r w:rsidRPr="00C90523">
        <w:rPr>
          <w:color w:val="000000"/>
        </w:rPr>
        <w:t>No caso dos agregados representados por mulheres estas proporções são, respectivamente, de 38% e 26%, enquanto nos agregados representados por homens, são de 11% e 4%. Verifica-se assim que as mulheres são essencialmente representantes em famílias não conjugais, mais concretamente em 64% dos casos em que são identificadas como representante.</w:t>
      </w:r>
    </w:p>
    <w:p w:rsidR="004F127D" w:rsidRPr="00C90523" w:rsidRDefault="004F127D" w:rsidP="000079EB">
      <w:pPr>
        <w:spacing w:after="0"/>
        <w:jc w:val="both"/>
        <w:rPr>
          <w:color w:val="000000"/>
        </w:rPr>
      </w:pPr>
    </w:p>
    <w:p w:rsidR="004F127D" w:rsidRPr="00C90523" w:rsidRDefault="004F127D" w:rsidP="000079EB">
      <w:pPr>
        <w:spacing w:after="0"/>
        <w:jc w:val="both"/>
        <w:rPr>
          <w:color w:val="FF0000"/>
        </w:rPr>
      </w:pPr>
      <w:r w:rsidRPr="00C90523">
        <w:rPr>
          <w:color w:val="000000"/>
        </w:rPr>
        <w:t xml:space="preserve">De referir ainda o aumento da proporção de agregados unipessoais (15%), com maior peso dos agregados unipessoais masculinos (20% dos agregados com representante masculino) em relação aos femininos (10% dos agregados com representante feminino). </w:t>
      </w:r>
    </w:p>
    <w:p w:rsidR="004F127D" w:rsidRPr="00C90523" w:rsidRDefault="004F127D" w:rsidP="004F127D">
      <w:pPr>
        <w:pStyle w:val="Legenda"/>
        <w:jc w:val="center"/>
        <w:rPr>
          <w:rFonts w:asciiTheme="minorHAnsi" w:hAnsiTheme="minorHAnsi"/>
          <w:color w:val="auto"/>
          <w:sz w:val="20"/>
          <w:szCs w:val="20"/>
        </w:rPr>
      </w:pPr>
    </w:p>
    <w:p w:rsidR="004F127D" w:rsidRPr="00C90523" w:rsidRDefault="004F127D" w:rsidP="004F127D">
      <w:pPr>
        <w:pStyle w:val="Legenda"/>
        <w:jc w:val="center"/>
        <w:rPr>
          <w:rFonts w:asciiTheme="minorHAnsi" w:hAnsiTheme="minorHAnsi"/>
          <w:color w:val="auto"/>
          <w:sz w:val="20"/>
          <w:szCs w:val="20"/>
        </w:rPr>
      </w:pPr>
      <w:r w:rsidRPr="00C90523">
        <w:rPr>
          <w:rFonts w:asciiTheme="minorHAnsi" w:hAnsiTheme="minorHAnsi"/>
          <w:color w:val="auto"/>
          <w:sz w:val="20"/>
          <w:szCs w:val="20"/>
        </w:rPr>
        <w:t xml:space="preserve">Gráfico </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1</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.1 – Tipologia dos agregados familiares, por sexo do representante do agregado (%)  </w:t>
      </w:r>
    </w:p>
    <w:p w:rsidR="004F127D" w:rsidRPr="00C90523" w:rsidRDefault="004F127D" w:rsidP="004F127D">
      <w:pPr>
        <w:jc w:val="both"/>
      </w:pPr>
      <w:r w:rsidRPr="00C90523">
        <w:rPr>
          <w:noProof/>
          <w:shd w:val="clear" w:color="auto" w:fill="E36C0A" w:themeFill="accent6" w:themeFillShade="BF"/>
        </w:rPr>
        <w:drawing>
          <wp:inline distT="0" distB="0" distL="0" distR="0">
            <wp:extent cx="5438898" cy="2084120"/>
            <wp:effectExtent l="0" t="0" r="9525"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127D" w:rsidRPr="00861276" w:rsidRDefault="004F127D" w:rsidP="004F127D">
      <w:pPr>
        <w:jc w:val="center"/>
        <w:rPr>
          <w:b/>
          <w:sz w:val="20"/>
          <w:szCs w:val="20"/>
        </w:rPr>
      </w:pPr>
      <w:r w:rsidRPr="00861276">
        <w:rPr>
          <w:b/>
          <w:sz w:val="20"/>
          <w:szCs w:val="20"/>
        </w:rPr>
        <w:t>Fonte: INE (2010) Recenseamento Geral da População e Habitação</w:t>
      </w:r>
    </w:p>
    <w:p w:rsidR="004F127D" w:rsidRPr="00861276" w:rsidRDefault="004F127D" w:rsidP="000079EB">
      <w:pPr>
        <w:spacing w:after="0"/>
        <w:jc w:val="both"/>
      </w:pPr>
    </w:p>
    <w:p w:rsidR="004F127D" w:rsidRPr="00C90523" w:rsidRDefault="004F127D" w:rsidP="000079EB">
      <w:pPr>
        <w:spacing w:after="0"/>
        <w:jc w:val="both"/>
      </w:pPr>
      <w:r w:rsidRPr="00C90523">
        <w:t>Estes dados permitem reconfirmar a análise feita por ocasião da avaliação/actualização do PNIEG, de que «</w:t>
      </w:r>
      <w:r w:rsidRPr="00C90523">
        <w:rPr>
          <w:i/>
        </w:rPr>
        <w:t>o modelo de família, conjugal nuclear, formada por um casal e os filhos, todos vivendo juntos e onde o homem é o principal provedor e a mulher dona de casa ou uma fonte de ingresso adicional, coadjuvante do marido no sustento familiar, esta longe de ser uma realidade no nosso país.</w:t>
      </w:r>
      <w:r w:rsidRPr="00C90523">
        <w:t xml:space="preserve"> </w:t>
      </w:r>
      <w:r w:rsidRPr="00C90523">
        <w:rPr>
          <w:i/>
        </w:rPr>
        <w:t>Nas famílias chefiadas por mulheres, elas são geralmente, o único recurso disponível para a sobrevivência do agregado familiar, sendo evidente um elevado e crescente grau de não assunção por parte dos homens das responsabilidades paternas e familiares</w:t>
      </w:r>
      <w:r w:rsidRPr="00C90523">
        <w:t>».</w:t>
      </w:r>
      <w:r w:rsidRPr="00C90523">
        <w:rPr>
          <w:rStyle w:val="Refdenotaderodap"/>
        </w:rPr>
        <w:footnoteReference w:id="21"/>
      </w:r>
      <w:r w:rsidRPr="00C90523">
        <w:t xml:space="preserve"> </w:t>
      </w:r>
    </w:p>
    <w:p w:rsidR="004F127D" w:rsidRPr="00861276" w:rsidRDefault="004F127D" w:rsidP="000079EB">
      <w:pPr>
        <w:spacing w:after="0"/>
        <w:jc w:val="both"/>
        <w:rPr>
          <w:color w:val="FF0000"/>
        </w:rPr>
      </w:pPr>
    </w:p>
    <w:p w:rsidR="004F127D" w:rsidRPr="00C90523" w:rsidRDefault="004F127D" w:rsidP="000079EB">
      <w:pPr>
        <w:spacing w:after="0"/>
        <w:jc w:val="both"/>
        <w:rPr>
          <w:color w:val="000000"/>
        </w:rPr>
      </w:pPr>
      <w:r w:rsidRPr="00C90523">
        <w:rPr>
          <w:color w:val="000000"/>
        </w:rPr>
        <w:t>Existem diferenças no nível de instrução dos representantes femininos e masculinos, no sentido de um menor grau de instrução no caso das mulheres: globalmente cerca de 32% dos agregados em Cabo Verde têm um representante com o nível secundário ou superior, proporção que é de 37% entre os representantes e de 27% entre as representantes. Globalmente quase 1 em cada 5 família em Cabo Verde tem um representante sem nenhum nível de instrução (19%), o que acontece com pouco mais de 1 em cada 10 representante masculino (11%) e mais de 1 em cada 4 representante feminino (27%).</w:t>
      </w:r>
    </w:p>
    <w:p w:rsidR="004F127D" w:rsidRPr="00C90523" w:rsidRDefault="004F127D" w:rsidP="000079EB">
      <w:pPr>
        <w:spacing w:after="0"/>
        <w:jc w:val="both"/>
      </w:pPr>
      <w:r w:rsidRPr="00C90523">
        <w:t xml:space="preserve"> </w:t>
      </w:r>
    </w:p>
    <w:p w:rsidR="004F127D" w:rsidRPr="00C90523" w:rsidRDefault="004F127D" w:rsidP="000079EB">
      <w:pPr>
        <w:spacing w:after="0"/>
        <w:jc w:val="both"/>
      </w:pPr>
      <w:r w:rsidRPr="00C90523">
        <w:t>No que respeita a situação da nupcialidade, a tendência vem sendo no sentido da diminuição dos casamentos: em 2010 cerca de 10% da população era casada, proporção que em 2000 era de 17%. Em 2010 a cerca de 38% da população era solteira, tendo a união de facto registado uma ligeira diminuição, passando para 20,5%, quando era de 23% em 2000. Mantem-se a tendência dos homens, mais do que as mulheres, serem solteiros (com proporções de cerca de 42% dos homens versus 35% das mulheres em 2010).</w:t>
      </w:r>
    </w:p>
    <w:p w:rsidR="004F127D" w:rsidRPr="00C90523" w:rsidRDefault="004F127D" w:rsidP="000079EB">
      <w:pPr>
        <w:spacing w:after="0"/>
        <w:jc w:val="both"/>
      </w:pPr>
    </w:p>
    <w:p w:rsidR="004F127D" w:rsidRPr="00C90523" w:rsidRDefault="006568A3" w:rsidP="00E60FC4">
      <w:pPr>
        <w:pStyle w:val="Cabealho3"/>
      </w:pPr>
      <w:bookmarkStart w:id="22" w:name="_Toc202292418"/>
      <w:bookmarkStart w:id="23" w:name="_Toc402442225"/>
      <w:bookmarkStart w:id="24" w:name="_Toc406667272"/>
      <w:r w:rsidRPr="006568A3">
        <w:t>1.1.3. Situação dos agregados familiares</w:t>
      </w:r>
      <w:bookmarkEnd w:id="22"/>
      <w:bookmarkEnd w:id="23"/>
      <w:bookmarkEnd w:id="24"/>
    </w:p>
    <w:p w:rsidR="004F127D" w:rsidRPr="00C90523" w:rsidRDefault="004F127D" w:rsidP="000079EB">
      <w:pPr>
        <w:spacing w:after="0"/>
        <w:jc w:val="both"/>
      </w:pPr>
    </w:p>
    <w:p w:rsidR="004F127D" w:rsidRPr="00C90523" w:rsidRDefault="004F127D" w:rsidP="000079EB">
      <w:pPr>
        <w:spacing w:after="0"/>
        <w:jc w:val="both"/>
      </w:pPr>
      <w:r w:rsidRPr="00861276">
        <w:t>O acesso dos agregados familiares a serviços de base ainda apresenta algumas diferenças em razão do sexo do representante do agregado, apesar dos progressos consideráveis alcançado</w:t>
      </w:r>
      <w:r w:rsidRPr="00C90523">
        <w:t>s neste âmbito: em 2013</w:t>
      </w:r>
      <w:r w:rsidRPr="00C90523">
        <w:rPr>
          <w:rStyle w:val="Refdenotaderodap"/>
        </w:rPr>
        <w:footnoteReference w:id="22"/>
      </w:r>
      <w:r w:rsidRPr="00C90523">
        <w:t xml:space="preserve"> 87% dos agregados em Cabo Verde têm acesso à electricidade, 88% entre os agregados representados por homens e 85% entre os representados por mulheres, quando em 2000 o fosso de género era de 7 pontos percentuais. A principal fonte de energia u</w:t>
      </w:r>
      <w:r w:rsidRPr="00861276">
        <w:t>tilizada para cozinhar é o gás para cerca de 71% dos agregados, 74% entre os representados por homens, 68% entre os representados por mulheres; o uso de lenha é mais comum entre estes últimos agregados (30% versus 21% dos representados por home</w:t>
      </w:r>
      <w:r w:rsidRPr="00C90523">
        <w:t>ns). Entre os agregados que não têm acesso a uma cozinha (19%), 17% são representados por homens e 21,5% por mulheres.</w:t>
      </w:r>
    </w:p>
    <w:p w:rsidR="004F127D" w:rsidRPr="00C90523" w:rsidRDefault="004F127D" w:rsidP="000079EB">
      <w:pPr>
        <w:spacing w:after="0"/>
        <w:jc w:val="both"/>
      </w:pPr>
    </w:p>
    <w:p w:rsidR="004F127D" w:rsidRPr="00C90523" w:rsidRDefault="004F127D" w:rsidP="000079EB">
      <w:pPr>
        <w:spacing w:after="0"/>
        <w:jc w:val="both"/>
      </w:pPr>
      <w:r w:rsidRPr="00C90523">
        <w:t>Em termos de acesso a água potável e canalizada não se verificam diferenças em razão do sexo do representante do agregado. Contudo, persistem diferenças no que tange ao saneamento: cerca de 72% dos agregados têm acesso a uma casa de banho com sanita, o que acontece com cerca de 74% dos representados por homens e 70% por mulheres, existindo por outro lado um fosso da ordem dos 5% no caso do acesso a um sistema de evacuação de águas residuais.</w:t>
      </w:r>
    </w:p>
    <w:p w:rsidR="004F127D" w:rsidRPr="00C90523" w:rsidRDefault="004F127D" w:rsidP="000079EB">
      <w:pPr>
        <w:spacing w:after="0"/>
        <w:jc w:val="both"/>
      </w:pPr>
    </w:p>
    <w:p w:rsidR="004F127D" w:rsidRPr="00C90523" w:rsidRDefault="004F127D" w:rsidP="000079EB">
      <w:pPr>
        <w:spacing w:after="0"/>
        <w:jc w:val="both"/>
      </w:pPr>
      <w:r w:rsidRPr="00C90523">
        <w:t>Ainda persistem algumas diferenças no acesso a vários bens, tais como electrodomésticos e automóvel, contudo esta diferença já não se verifica para a posse de telefone ou telemóvel. No entanto os agregados com representante masculino têm mais acesso a computador (32% versus 27%) e a internet (25% versus 20%).</w:t>
      </w:r>
    </w:p>
    <w:p w:rsidR="004F127D" w:rsidRPr="00C90523" w:rsidRDefault="004F127D" w:rsidP="000079EB">
      <w:pPr>
        <w:spacing w:after="0"/>
        <w:jc w:val="both"/>
      </w:pPr>
    </w:p>
    <w:p w:rsidR="004F127D" w:rsidRPr="00C90523" w:rsidRDefault="006568A3" w:rsidP="00E14252">
      <w:pPr>
        <w:pStyle w:val="Legenda"/>
        <w:spacing w:after="0"/>
        <w:jc w:val="center"/>
        <w:rPr>
          <w:rFonts w:asciiTheme="minorHAnsi" w:hAnsiTheme="minorHAnsi"/>
          <w:color w:val="auto"/>
          <w:sz w:val="20"/>
          <w:szCs w:val="20"/>
        </w:rPr>
      </w:pPr>
      <w:r w:rsidRPr="006568A3">
        <w:rPr>
          <w:rFonts w:asciiTheme="minorHAnsi" w:hAnsiTheme="minorHAnsi"/>
          <w:color w:val="auto"/>
          <w:sz w:val="20"/>
          <w:szCs w:val="20"/>
        </w:rPr>
        <w:t xml:space="preserve">Quadro </w:t>
      </w:r>
      <w:r w:rsidR="00F202BB" w:rsidRPr="00C90523">
        <w:rPr>
          <w:rFonts w:asciiTheme="minorHAnsi" w:hAnsiTheme="minorHAnsi"/>
          <w:color w:val="auto"/>
          <w:sz w:val="20"/>
          <w:szCs w:val="20"/>
        </w:rPr>
        <w:fldChar w:fldCharType="begin"/>
      </w:r>
      <w:r w:rsidRPr="006568A3">
        <w:rPr>
          <w:rFonts w:asciiTheme="minorHAnsi" w:hAnsiTheme="minorHAnsi"/>
          <w:color w:val="auto"/>
          <w:sz w:val="20"/>
          <w:szCs w:val="20"/>
        </w:rPr>
        <w:instrText xml:space="preserve"> SEQ Quadro \* ARABIC </w:instrText>
      </w:r>
      <w:r w:rsidR="00F202BB" w:rsidRPr="00C90523">
        <w:rPr>
          <w:rFonts w:asciiTheme="minorHAnsi" w:hAnsiTheme="minorHAnsi"/>
          <w:color w:val="auto"/>
          <w:sz w:val="20"/>
          <w:szCs w:val="20"/>
        </w:rPr>
        <w:fldChar w:fldCharType="separate"/>
      </w:r>
      <w:r w:rsidRPr="006568A3">
        <w:rPr>
          <w:rFonts w:asciiTheme="minorHAnsi" w:hAnsiTheme="minorHAnsi"/>
          <w:noProof/>
          <w:color w:val="auto"/>
          <w:sz w:val="20"/>
          <w:szCs w:val="20"/>
        </w:rPr>
        <w:t>1</w:t>
      </w:r>
      <w:r w:rsidR="00F202BB" w:rsidRPr="00C90523">
        <w:rPr>
          <w:rFonts w:asciiTheme="minorHAnsi" w:hAnsiTheme="minorHAnsi"/>
          <w:color w:val="auto"/>
          <w:sz w:val="20"/>
          <w:szCs w:val="20"/>
        </w:rPr>
        <w:fldChar w:fldCharType="end"/>
      </w:r>
      <w:r w:rsidRPr="006568A3">
        <w:rPr>
          <w:rFonts w:asciiTheme="minorHAnsi" w:hAnsiTheme="minorHAnsi"/>
          <w:color w:val="auto"/>
          <w:sz w:val="20"/>
          <w:szCs w:val="20"/>
        </w:rPr>
        <w:t>.1 - Acesso dos agregados a serviços de base por sexo do representante</w:t>
      </w:r>
    </w:p>
    <w:tbl>
      <w:tblPr>
        <w:tblStyle w:val="Listaclara-nfasis11"/>
        <w:tblW w:w="9468" w:type="dxa"/>
        <w:tblLayout w:type="fixed"/>
        <w:tblLook w:val="04A0" w:firstRow="1" w:lastRow="0" w:firstColumn="1" w:lastColumn="0" w:noHBand="0" w:noVBand="1"/>
      </w:tblPr>
      <w:tblGrid>
        <w:gridCol w:w="3369"/>
        <w:gridCol w:w="1842"/>
        <w:gridCol w:w="1985"/>
        <w:gridCol w:w="2272"/>
      </w:tblGrid>
      <w:tr w:rsidR="004F127D" w:rsidRPr="00C90523" w:rsidTr="00E14252">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6568A3" w:rsidP="00E14252">
            <w:pPr>
              <w:keepNext/>
              <w:keepLines/>
              <w:spacing w:before="480" w:line="276" w:lineRule="auto"/>
              <w:jc w:val="center"/>
              <w:outlineLvl w:val="0"/>
              <w:rPr>
                <w:rFonts w:cs="Arial"/>
                <w:color w:val="000000"/>
                <w:sz w:val="20"/>
                <w:szCs w:val="20"/>
              </w:rPr>
            </w:pPr>
            <w:bookmarkStart w:id="25" w:name="_Toc406667273"/>
            <w:r w:rsidRPr="006568A3">
              <w:rPr>
                <w:sz w:val="20"/>
                <w:szCs w:val="20"/>
              </w:rPr>
              <w:t>Percentagem dos agregados familiares que:</w:t>
            </w:r>
            <w:bookmarkEnd w:id="25"/>
          </w:p>
        </w:tc>
        <w:tc>
          <w:tcPr>
            <w:tcW w:w="1842" w:type="dxa"/>
            <w:noWrap/>
          </w:tcPr>
          <w:p w:rsidR="004F127D" w:rsidRPr="00C90523" w:rsidRDefault="004F127D" w:rsidP="00E14252">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Total dos agregados familiares (%)</w:t>
            </w:r>
          </w:p>
        </w:tc>
        <w:tc>
          <w:tcPr>
            <w:tcW w:w="1985" w:type="dxa"/>
            <w:noWrap/>
          </w:tcPr>
          <w:p w:rsidR="004F127D" w:rsidRPr="00861276" w:rsidRDefault="004F127D" w:rsidP="00E14252">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61276">
              <w:rPr>
                <w:rFonts w:cs="Arial"/>
                <w:sz w:val="20"/>
                <w:szCs w:val="20"/>
              </w:rPr>
              <w:t>Agregados com representante feminino (%)</w:t>
            </w:r>
          </w:p>
        </w:tc>
        <w:tc>
          <w:tcPr>
            <w:tcW w:w="2272" w:type="dxa"/>
            <w:noWrap/>
          </w:tcPr>
          <w:p w:rsidR="004F127D" w:rsidRPr="00C90523" w:rsidRDefault="004F127D" w:rsidP="00E14252">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Agregados com representante masculino (%)</w:t>
            </w:r>
          </w:p>
        </w:tc>
      </w:tr>
      <w:tr w:rsidR="004F127D" w:rsidRPr="00C90523" w:rsidTr="00E142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6568A3" w:rsidP="00E14252">
            <w:pPr>
              <w:keepNext/>
              <w:keepLines/>
              <w:spacing w:before="480" w:line="276" w:lineRule="auto"/>
              <w:outlineLvl w:val="0"/>
              <w:rPr>
                <w:sz w:val="20"/>
                <w:szCs w:val="20"/>
              </w:rPr>
            </w:pPr>
            <w:bookmarkStart w:id="26" w:name="_Toc406667274"/>
            <w:r w:rsidRPr="006568A3">
              <w:rPr>
                <w:rFonts w:cs="Arial"/>
                <w:color w:val="000000"/>
                <w:sz w:val="20"/>
                <w:szCs w:val="20"/>
              </w:rPr>
              <w:t>Tem acesso à rede pública (principal meio de abastecimento água)</w:t>
            </w:r>
            <w:bookmarkEnd w:id="26"/>
          </w:p>
        </w:tc>
        <w:tc>
          <w:tcPr>
            <w:tcW w:w="184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58,6</w:t>
            </w:r>
          </w:p>
        </w:tc>
        <w:tc>
          <w:tcPr>
            <w:tcW w:w="1985" w:type="dxa"/>
            <w:noWrap/>
          </w:tcPr>
          <w:p w:rsidR="004F127D" w:rsidRPr="00861276"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61276">
              <w:rPr>
                <w:rFonts w:cs="Arial"/>
                <w:sz w:val="20"/>
                <w:szCs w:val="20"/>
              </w:rPr>
              <w:t>58,3</w:t>
            </w:r>
          </w:p>
        </w:tc>
        <w:tc>
          <w:tcPr>
            <w:tcW w:w="227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58,7</w:t>
            </w:r>
          </w:p>
        </w:tc>
      </w:tr>
      <w:tr w:rsidR="004F127D" w:rsidRPr="00C90523" w:rsidTr="00E14252">
        <w:trPr>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4F127D" w:rsidP="00E14252">
            <w:pPr>
              <w:rPr>
                <w:sz w:val="20"/>
                <w:szCs w:val="20"/>
              </w:rPr>
            </w:pPr>
            <w:r w:rsidRPr="00C90523">
              <w:rPr>
                <w:rFonts w:cs="Arial"/>
                <w:color w:val="000000"/>
                <w:sz w:val="20"/>
                <w:szCs w:val="20"/>
              </w:rPr>
              <w:t>Cozinha com gás</w:t>
            </w:r>
          </w:p>
        </w:tc>
        <w:tc>
          <w:tcPr>
            <w:tcW w:w="184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71,3</w:t>
            </w:r>
          </w:p>
        </w:tc>
        <w:tc>
          <w:tcPr>
            <w:tcW w:w="1985"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68,4</w:t>
            </w:r>
          </w:p>
        </w:tc>
        <w:tc>
          <w:tcPr>
            <w:tcW w:w="227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73,6</w:t>
            </w:r>
          </w:p>
        </w:tc>
      </w:tr>
      <w:tr w:rsidR="004F127D" w:rsidRPr="00C90523" w:rsidTr="00E142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4F127D" w:rsidP="00E14252">
            <w:pPr>
              <w:rPr>
                <w:sz w:val="20"/>
                <w:szCs w:val="20"/>
              </w:rPr>
            </w:pPr>
            <w:r w:rsidRPr="00C90523">
              <w:rPr>
                <w:rFonts w:cs="Arial"/>
                <w:color w:val="000000"/>
                <w:sz w:val="20"/>
                <w:szCs w:val="20"/>
              </w:rPr>
              <w:t>Cozinha c/ lenha</w:t>
            </w:r>
          </w:p>
        </w:tc>
        <w:tc>
          <w:tcPr>
            <w:tcW w:w="184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25,1</w:t>
            </w:r>
          </w:p>
        </w:tc>
        <w:tc>
          <w:tcPr>
            <w:tcW w:w="1985"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30,2</w:t>
            </w:r>
          </w:p>
        </w:tc>
        <w:tc>
          <w:tcPr>
            <w:tcW w:w="227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21,1</w:t>
            </w:r>
          </w:p>
        </w:tc>
      </w:tr>
      <w:tr w:rsidR="004F127D" w:rsidRPr="00C90523" w:rsidTr="00E14252">
        <w:trPr>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4F127D" w:rsidP="00E14252">
            <w:pPr>
              <w:rPr>
                <w:sz w:val="20"/>
                <w:szCs w:val="20"/>
              </w:rPr>
            </w:pPr>
            <w:r w:rsidRPr="00C90523">
              <w:rPr>
                <w:rFonts w:cs="Arial"/>
                <w:color w:val="000000"/>
                <w:sz w:val="20"/>
                <w:szCs w:val="20"/>
              </w:rPr>
              <w:t>Não tem cozinha</w:t>
            </w:r>
          </w:p>
        </w:tc>
        <w:tc>
          <w:tcPr>
            <w:tcW w:w="184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19,2</w:t>
            </w:r>
          </w:p>
        </w:tc>
        <w:tc>
          <w:tcPr>
            <w:tcW w:w="1985"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21,5</w:t>
            </w:r>
          </w:p>
        </w:tc>
        <w:tc>
          <w:tcPr>
            <w:tcW w:w="227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17,3</w:t>
            </w:r>
          </w:p>
        </w:tc>
      </w:tr>
      <w:tr w:rsidR="004F127D" w:rsidRPr="00C90523" w:rsidTr="00E142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6568A3" w:rsidP="00E14252">
            <w:pPr>
              <w:keepNext/>
              <w:keepLines/>
              <w:spacing w:before="480" w:line="276" w:lineRule="auto"/>
              <w:outlineLvl w:val="0"/>
              <w:rPr>
                <w:sz w:val="20"/>
                <w:szCs w:val="20"/>
              </w:rPr>
            </w:pPr>
            <w:bookmarkStart w:id="27" w:name="_Toc406667275"/>
            <w:r w:rsidRPr="006568A3">
              <w:rPr>
                <w:rFonts w:cs="Arial"/>
                <w:color w:val="000000"/>
                <w:sz w:val="20"/>
                <w:szCs w:val="20"/>
              </w:rPr>
              <w:t>Tem casa de banho c/ sanita</w:t>
            </w:r>
            <w:bookmarkEnd w:id="27"/>
          </w:p>
        </w:tc>
        <w:tc>
          <w:tcPr>
            <w:tcW w:w="184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72,4</w:t>
            </w:r>
          </w:p>
        </w:tc>
        <w:tc>
          <w:tcPr>
            <w:tcW w:w="1985" w:type="dxa"/>
            <w:noWrap/>
          </w:tcPr>
          <w:p w:rsidR="004F127D" w:rsidRPr="00861276"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61276">
              <w:rPr>
                <w:rFonts w:cs="Arial"/>
                <w:sz w:val="20"/>
                <w:szCs w:val="20"/>
              </w:rPr>
              <w:t>74,4</w:t>
            </w:r>
          </w:p>
        </w:tc>
        <w:tc>
          <w:tcPr>
            <w:tcW w:w="227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69,9</w:t>
            </w:r>
          </w:p>
        </w:tc>
      </w:tr>
      <w:tr w:rsidR="004F127D" w:rsidRPr="00C90523" w:rsidTr="00E14252">
        <w:trPr>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6568A3" w:rsidP="00E14252">
            <w:pPr>
              <w:keepNext/>
              <w:keepLines/>
              <w:spacing w:before="480" w:line="276" w:lineRule="auto"/>
              <w:outlineLvl w:val="0"/>
              <w:rPr>
                <w:sz w:val="20"/>
                <w:szCs w:val="20"/>
              </w:rPr>
            </w:pPr>
            <w:bookmarkStart w:id="28" w:name="_Toc406667276"/>
            <w:r w:rsidRPr="006568A3">
              <w:rPr>
                <w:rFonts w:cs="Arial"/>
                <w:color w:val="000000"/>
                <w:sz w:val="20"/>
                <w:szCs w:val="20"/>
              </w:rPr>
              <w:t>Sem sistema de evacuação de águas residuais</w:t>
            </w:r>
            <w:bookmarkEnd w:id="28"/>
          </w:p>
        </w:tc>
        <w:tc>
          <w:tcPr>
            <w:tcW w:w="184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27,3</w:t>
            </w:r>
          </w:p>
        </w:tc>
        <w:tc>
          <w:tcPr>
            <w:tcW w:w="1985" w:type="dxa"/>
            <w:noWrap/>
          </w:tcPr>
          <w:p w:rsidR="004F127D" w:rsidRPr="00861276"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61276">
              <w:rPr>
                <w:rFonts w:cs="Arial"/>
                <w:sz w:val="20"/>
                <w:szCs w:val="20"/>
              </w:rPr>
              <w:t>29,9</w:t>
            </w:r>
          </w:p>
        </w:tc>
        <w:tc>
          <w:tcPr>
            <w:tcW w:w="227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25,3</w:t>
            </w:r>
          </w:p>
        </w:tc>
      </w:tr>
      <w:tr w:rsidR="004F127D" w:rsidRPr="00C90523" w:rsidTr="00E142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6568A3" w:rsidP="00E14252">
            <w:pPr>
              <w:keepNext/>
              <w:keepLines/>
              <w:spacing w:before="480" w:line="276" w:lineRule="auto"/>
              <w:outlineLvl w:val="0"/>
              <w:rPr>
                <w:sz w:val="20"/>
                <w:szCs w:val="20"/>
              </w:rPr>
            </w:pPr>
            <w:bookmarkStart w:id="29" w:name="_Toc406667277"/>
            <w:r w:rsidRPr="006568A3">
              <w:rPr>
                <w:rFonts w:cs="Arial"/>
                <w:color w:val="000000"/>
                <w:sz w:val="20"/>
                <w:szCs w:val="20"/>
              </w:rPr>
              <w:t>Usa electricidade (principal forma de iluminação)</w:t>
            </w:r>
            <w:bookmarkEnd w:id="29"/>
          </w:p>
        </w:tc>
        <w:tc>
          <w:tcPr>
            <w:tcW w:w="184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86,9</w:t>
            </w:r>
          </w:p>
        </w:tc>
        <w:tc>
          <w:tcPr>
            <w:tcW w:w="1985" w:type="dxa"/>
            <w:noWrap/>
          </w:tcPr>
          <w:p w:rsidR="004F127D" w:rsidRPr="00861276"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61276">
              <w:rPr>
                <w:rFonts w:cs="Arial"/>
                <w:sz w:val="20"/>
                <w:szCs w:val="20"/>
              </w:rPr>
              <w:t>85,4</w:t>
            </w:r>
          </w:p>
        </w:tc>
        <w:tc>
          <w:tcPr>
            <w:tcW w:w="227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88</w:t>
            </w:r>
          </w:p>
        </w:tc>
      </w:tr>
      <w:tr w:rsidR="004F127D" w:rsidRPr="00C90523" w:rsidTr="00E14252">
        <w:trPr>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4F127D" w:rsidP="00E14252">
            <w:pPr>
              <w:rPr>
                <w:sz w:val="20"/>
                <w:szCs w:val="20"/>
              </w:rPr>
            </w:pPr>
            <w:r w:rsidRPr="00C90523">
              <w:rPr>
                <w:rFonts w:cs="Arial"/>
                <w:color w:val="000000"/>
                <w:sz w:val="20"/>
                <w:szCs w:val="20"/>
              </w:rPr>
              <w:t>Tem computador em casa</w:t>
            </w:r>
          </w:p>
        </w:tc>
        <w:tc>
          <w:tcPr>
            <w:tcW w:w="184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30,2</w:t>
            </w:r>
          </w:p>
        </w:tc>
        <w:tc>
          <w:tcPr>
            <w:tcW w:w="1985"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27,4</w:t>
            </w:r>
          </w:p>
        </w:tc>
        <w:tc>
          <w:tcPr>
            <w:tcW w:w="2272" w:type="dxa"/>
            <w:noWrap/>
          </w:tcPr>
          <w:p w:rsidR="004F127D" w:rsidRPr="00C90523" w:rsidRDefault="004F127D" w:rsidP="00E1425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90523">
              <w:rPr>
                <w:rFonts w:cs="Arial"/>
                <w:sz w:val="20"/>
                <w:szCs w:val="20"/>
              </w:rPr>
              <w:t>32,4</w:t>
            </w:r>
          </w:p>
        </w:tc>
      </w:tr>
      <w:tr w:rsidR="004F127D" w:rsidRPr="00C90523" w:rsidTr="00E1425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69" w:type="dxa"/>
            <w:noWrap/>
          </w:tcPr>
          <w:p w:rsidR="004F127D" w:rsidRPr="00C90523" w:rsidRDefault="004F127D" w:rsidP="00E14252">
            <w:pPr>
              <w:rPr>
                <w:sz w:val="20"/>
                <w:szCs w:val="20"/>
              </w:rPr>
            </w:pPr>
            <w:r w:rsidRPr="00C90523">
              <w:rPr>
                <w:rFonts w:cs="Arial"/>
                <w:color w:val="000000"/>
                <w:sz w:val="20"/>
                <w:szCs w:val="20"/>
              </w:rPr>
              <w:t>Tem internet em casa</w:t>
            </w:r>
          </w:p>
        </w:tc>
        <w:tc>
          <w:tcPr>
            <w:tcW w:w="184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22,8</w:t>
            </w:r>
          </w:p>
        </w:tc>
        <w:tc>
          <w:tcPr>
            <w:tcW w:w="1985"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20,2</w:t>
            </w:r>
          </w:p>
        </w:tc>
        <w:tc>
          <w:tcPr>
            <w:tcW w:w="2272" w:type="dxa"/>
            <w:noWrap/>
          </w:tcPr>
          <w:p w:rsidR="004F127D" w:rsidRPr="00C90523" w:rsidRDefault="004F127D" w:rsidP="00E1425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90523">
              <w:rPr>
                <w:rFonts w:cs="Arial"/>
                <w:sz w:val="20"/>
                <w:szCs w:val="20"/>
              </w:rPr>
              <w:t>24,8</w:t>
            </w:r>
          </w:p>
        </w:tc>
      </w:tr>
    </w:tbl>
    <w:p w:rsidR="004F127D" w:rsidRPr="00C90523" w:rsidRDefault="004F127D" w:rsidP="00E14252">
      <w:pPr>
        <w:spacing w:after="0" w:line="240" w:lineRule="auto"/>
        <w:rPr>
          <w:sz w:val="20"/>
          <w:szCs w:val="20"/>
        </w:rPr>
      </w:pPr>
      <w:r w:rsidRPr="00C90523">
        <w:rPr>
          <w:b/>
          <w:sz w:val="20"/>
          <w:szCs w:val="20"/>
        </w:rPr>
        <w:t xml:space="preserve">Fonte: </w:t>
      </w:r>
      <w:r w:rsidRPr="00C90523">
        <w:rPr>
          <w:sz w:val="20"/>
          <w:szCs w:val="20"/>
        </w:rPr>
        <w:t>INE (2013) Inquérito Multiobjectivo Contínuo</w:t>
      </w:r>
    </w:p>
    <w:p w:rsidR="004F127D" w:rsidRPr="00C90523" w:rsidRDefault="004F127D" w:rsidP="000079EB">
      <w:pPr>
        <w:spacing w:after="0"/>
        <w:jc w:val="center"/>
        <w:rPr>
          <w:b/>
          <w:sz w:val="20"/>
          <w:szCs w:val="20"/>
        </w:rPr>
      </w:pPr>
    </w:p>
    <w:p w:rsidR="004F127D" w:rsidRPr="00C90523" w:rsidRDefault="004F127D" w:rsidP="000079EB">
      <w:pPr>
        <w:spacing w:after="0"/>
        <w:jc w:val="both"/>
      </w:pPr>
      <w:r w:rsidRPr="00C90523">
        <w:t>Estes dados mostram que o nível de conforto a que têm acesso os agregados é de alguma forma ainda diferenciado em razão do sexo do seu representante. Contudo, é importante ter igualmente presente outras características do representante do agregado, que estão fortemente associadas ao grau de vulnerabilidade das famílias; como é o caso da educação do representante e da sua inserção/não inserção no mercado de trabalho, que condiciona o acesso a renda do trabalho, ou a uma renda muito baixa. O IDRF 2001/02 já havia mostrado que, embora o emprego seja um determinante do acesso a renda, 29% da população empregada era pobre. Entre os/as mais vulneráveis encontram-se certamente os/as representantes com trabalho sazonal/ocasional ou a tempo parcial, os/as trabalhadoras sem remuneração, e os/as que trabalham em casa de famílias. Dados que apontam para a necessidade de ter em conta as circunstâncias particulares de algumas famílias chefiadas por mulheres, com baixa escolaridade e baixa renda, entre outras características: a pobreza configura-se assim como um amplificador das desigualdades de género e a vulnerabilidade destas famílias inspira preocupação pelo seu potencial para a reprodução do ciclo de pobreza.</w:t>
      </w:r>
    </w:p>
    <w:p w:rsidR="004F127D" w:rsidRPr="00C90523" w:rsidRDefault="004F127D" w:rsidP="000079EB">
      <w:pPr>
        <w:spacing w:after="0"/>
        <w:rPr>
          <w:rFonts w:eastAsiaTheme="majorEastAsia" w:cstheme="majorBidi"/>
          <w:b/>
          <w:bCs/>
          <w:color w:val="365F91" w:themeColor="accent1" w:themeShade="BF"/>
          <w:sz w:val="28"/>
          <w:szCs w:val="28"/>
        </w:rPr>
      </w:pPr>
      <w:r w:rsidRPr="00C90523">
        <w:br w:type="page"/>
      </w:r>
    </w:p>
    <w:p w:rsidR="004F127D" w:rsidRPr="00C90523" w:rsidRDefault="004F127D" w:rsidP="00E60FC4">
      <w:pPr>
        <w:pStyle w:val="Cabealho2"/>
      </w:pPr>
      <w:bookmarkStart w:id="30" w:name="_Toc402442226"/>
      <w:bookmarkStart w:id="31" w:name="_Toc406667278"/>
      <w:r w:rsidRPr="00C90523">
        <w:t>1.2</w:t>
      </w:r>
      <w:r w:rsidR="00E14252" w:rsidRPr="00C90523">
        <w:t>.</w:t>
      </w:r>
      <w:r w:rsidRPr="00C90523">
        <w:t xml:space="preserve"> CONTEXTO SOCIOECONÓMICO E CULTURAL</w:t>
      </w:r>
      <w:bookmarkEnd w:id="30"/>
      <w:bookmarkEnd w:id="31"/>
    </w:p>
    <w:p w:rsidR="004F127D" w:rsidRPr="00C90523" w:rsidRDefault="006568A3" w:rsidP="00E60FC4">
      <w:pPr>
        <w:pStyle w:val="Cabealho3"/>
      </w:pPr>
      <w:bookmarkStart w:id="32" w:name="_Toc402442227"/>
      <w:bookmarkStart w:id="33" w:name="_Toc406667279"/>
      <w:r w:rsidRPr="006568A3">
        <w:t>1.2.1. Principais indicadores relacionados com a saúde</w:t>
      </w:r>
      <w:bookmarkEnd w:id="32"/>
      <w:bookmarkEnd w:id="33"/>
    </w:p>
    <w:p w:rsidR="004F127D" w:rsidRPr="00C90523" w:rsidRDefault="004F127D" w:rsidP="000079EB">
      <w:pPr>
        <w:spacing w:after="0"/>
      </w:pPr>
    </w:p>
    <w:p w:rsidR="004F127D" w:rsidRPr="00C90523" w:rsidRDefault="004F127D" w:rsidP="000079EB">
      <w:pPr>
        <w:spacing w:after="0"/>
        <w:jc w:val="both"/>
        <w:rPr>
          <w:rFonts w:cs="Arial"/>
        </w:rPr>
      </w:pPr>
      <w:r w:rsidRPr="00C90523">
        <w:rPr>
          <w:rFonts w:cs="Arial"/>
        </w:rPr>
        <w:t>Conforme referido no PNDS, “</w:t>
      </w:r>
      <w:r w:rsidRPr="00C90523">
        <w:rPr>
          <w:rFonts w:cs="Arial"/>
          <w:i/>
        </w:rPr>
        <w:t>Cabo Verde se encontra numa fase de transição epidemiológica, caracterizada pela coexistência duma incidência significa</w:t>
      </w:r>
      <w:r w:rsidRPr="00861276">
        <w:rPr>
          <w:rFonts w:cs="Arial"/>
          <w:i/>
        </w:rPr>
        <w:t>tiva de doenças infecto-contagiosas típicas de países pouco desenvolvidos e uma ocorrência crescente de doenças degenerativas tais como os acidentes vasculares cerebrais, os tumores e as doenças do aparelho circulatório ou de traumatismos, entr</w:t>
      </w:r>
      <w:r w:rsidRPr="00C90523">
        <w:rPr>
          <w:rFonts w:cs="Arial"/>
          <w:i/>
        </w:rPr>
        <w:t>e as principais causas de mortalidade</w:t>
      </w:r>
      <w:r w:rsidRPr="00C90523">
        <w:rPr>
          <w:rFonts w:cs="Arial"/>
        </w:rPr>
        <w:t>”</w:t>
      </w:r>
      <w:r w:rsidRPr="00C90523">
        <w:rPr>
          <w:rStyle w:val="Refdenotaderodap"/>
          <w:rFonts w:cs="Arial"/>
        </w:rPr>
        <w:footnoteReference w:id="23"/>
      </w:r>
      <w:r w:rsidRPr="00C90523">
        <w:rPr>
          <w:rFonts w:cs="Arial"/>
        </w:rPr>
        <w:t xml:space="preserve"> Os dados de 2012, em relação às 10 principais causas</w:t>
      </w:r>
      <w:r w:rsidRPr="00861276">
        <w:rPr>
          <w:rFonts w:cs="Arial"/>
        </w:rPr>
        <w:t xml:space="preserve"> de morte, confirmam que tanto mulheres como homens morrem mais de doenças do aparelho circulatório (sobretudo no caso das mulheres), seguindo-se-lhe os tumores e n</w:t>
      </w:r>
      <w:r w:rsidRPr="00C90523">
        <w:rPr>
          <w:rFonts w:cs="Arial"/>
        </w:rPr>
        <w:t xml:space="preserve">eoplasias (sobretudo no caso dos homens). As causas externas e envenenamentos são causas de morte mais características dos homens, enquanto as mulheres apresentam mais situações de sintomas indefinidos. </w:t>
      </w:r>
    </w:p>
    <w:p w:rsidR="004F127D" w:rsidRPr="00C90523" w:rsidRDefault="004F127D" w:rsidP="000079EB">
      <w:pPr>
        <w:spacing w:after="0"/>
        <w:jc w:val="both"/>
        <w:rPr>
          <w:rFonts w:cs="Arial"/>
        </w:rPr>
      </w:pPr>
    </w:p>
    <w:p w:rsidR="004F127D" w:rsidRPr="00C90523" w:rsidRDefault="004F127D" w:rsidP="000079EB">
      <w:pPr>
        <w:pStyle w:val="Legenda"/>
        <w:spacing w:after="0"/>
        <w:jc w:val="center"/>
        <w:rPr>
          <w:rFonts w:asciiTheme="minorHAnsi" w:hAnsiTheme="minorHAnsi" w:cs="Arial"/>
          <w:color w:val="auto"/>
          <w:sz w:val="20"/>
          <w:szCs w:val="20"/>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2</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w:t>
      </w:r>
      <w:r w:rsidRPr="00C90523">
        <w:rPr>
          <w:rFonts w:asciiTheme="minorHAnsi" w:hAnsiTheme="minorHAnsi" w:cs="Arial-BoldMT"/>
          <w:bCs w:val="0"/>
          <w:color w:val="auto"/>
          <w:sz w:val="20"/>
          <w:szCs w:val="20"/>
          <w:lang w:eastAsia="en-US"/>
        </w:rPr>
        <w:t>Causas de mortalidade geral por sexo, 2012 (taxas por 100.000)</w:t>
      </w:r>
    </w:p>
    <w:p w:rsidR="004F127D" w:rsidRPr="00C90523" w:rsidRDefault="004F127D" w:rsidP="000079EB">
      <w:pPr>
        <w:spacing w:after="0"/>
        <w:jc w:val="both"/>
        <w:rPr>
          <w:rFonts w:cs="Arial"/>
        </w:rPr>
      </w:pPr>
      <w:r w:rsidRPr="00C90523">
        <w:rPr>
          <w:rFonts w:cs="Arial"/>
          <w:noProof/>
        </w:rPr>
        <w:drawing>
          <wp:inline distT="0" distB="0" distL="0" distR="0">
            <wp:extent cx="5334000" cy="4415118"/>
            <wp:effectExtent l="0" t="0" r="19050" b="2413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127D" w:rsidRPr="00C90523" w:rsidRDefault="004F127D" w:rsidP="000079EB">
      <w:pPr>
        <w:spacing w:after="0"/>
        <w:rPr>
          <w:rFonts w:cs="Arial"/>
          <w:b/>
          <w:sz w:val="20"/>
          <w:szCs w:val="20"/>
        </w:rPr>
      </w:pPr>
      <w:r w:rsidRPr="00861276">
        <w:rPr>
          <w:rFonts w:cs="ArialMT"/>
          <w:b/>
          <w:sz w:val="20"/>
          <w:szCs w:val="20"/>
        </w:rPr>
        <w:t xml:space="preserve">Fonte: </w:t>
      </w:r>
      <w:r w:rsidRPr="00C90523">
        <w:rPr>
          <w:rFonts w:cs="ArialMT"/>
          <w:sz w:val="20"/>
          <w:szCs w:val="20"/>
        </w:rPr>
        <w:t>Dados administrativos do MS</w:t>
      </w:r>
    </w:p>
    <w:p w:rsidR="004F127D" w:rsidRPr="00C90523" w:rsidRDefault="004F127D" w:rsidP="000079EB">
      <w:pPr>
        <w:spacing w:after="0"/>
      </w:pPr>
    </w:p>
    <w:p w:rsidR="004F127D" w:rsidRPr="00C90523" w:rsidRDefault="004F127D" w:rsidP="000079EB">
      <w:pPr>
        <w:spacing w:after="0"/>
        <w:jc w:val="both"/>
        <w:rPr>
          <w:rFonts w:cs="Arial"/>
        </w:rPr>
      </w:pPr>
    </w:p>
    <w:p w:rsidR="004F127D" w:rsidRPr="00C90523" w:rsidRDefault="004F127D" w:rsidP="000079EB">
      <w:pPr>
        <w:spacing w:after="0"/>
        <w:jc w:val="both"/>
        <w:rPr>
          <w:rFonts w:cs="Arial"/>
        </w:rPr>
      </w:pPr>
      <w:r w:rsidRPr="00C90523">
        <w:rPr>
          <w:rFonts w:cs="Arial"/>
        </w:rPr>
        <w:t xml:space="preserve">O aumento das doenças não transmissíveis (DNT) aponta para um incremento dos problemas de saúde relacionados ao estilo de vida, crescimento económico, participação na sociedade, entre outros. Aspectos que são marcados por questões sociais e de género: nomeadamente no que diz respeito ao acesso diferenciado aos recursos para a proteção e promoção da saúde, aos riscos específicos relacionados a actividades/tarefas/papeis definidos como masculinos ou femininos, e à própria percepção da doença e comportamentos de procura de serviços de saúde. </w:t>
      </w:r>
    </w:p>
    <w:p w:rsidR="004F127D" w:rsidRPr="00C90523" w:rsidRDefault="004F127D" w:rsidP="000079EB">
      <w:pPr>
        <w:spacing w:after="0"/>
        <w:jc w:val="both"/>
        <w:rPr>
          <w:rFonts w:cs="Arial"/>
        </w:rPr>
      </w:pPr>
    </w:p>
    <w:p w:rsidR="004F127D" w:rsidRPr="00C90523" w:rsidRDefault="004F127D" w:rsidP="000079EB">
      <w:pPr>
        <w:spacing w:after="0"/>
        <w:jc w:val="both"/>
        <w:rPr>
          <w:rFonts w:cs="Arial"/>
        </w:rPr>
      </w:pPr>
      <w:r w:rsidRPr="00C90523">
        <w:rPr>
          <w:rFonts w:cs="Arial"/>
        </w:rPr>
        <w:t>O Ministério da Saúde efectuou uma análise de género do PNDS,</w:t>
      </w:r>
      <w:r w:rsidRPr="00C90523">
        <w:rPr>
          <w:rStyle w:val="Refdenotaderodap"/>
        </w:rPr>
        <w:footnoteReference w:id="24"/>
      </w:r>
      <w:r w:rsidRPr="00C90523">
        <w:rPr>
          <w:rFonts w:cs="Arial"/>
        </w:rPr>
        <w:t xml:space="preserve"> análise que  aponta para a necessidade de conhecer de forma detalhada </w:t>
      </w:r>
      <w:r w:rsidRPr="00861276">
        <w:rPr>
          <w:rFonts w:cs="Arial"/>
        </w:rPr>
        <w:t>os fatores de vulnerabilidade por detrás do aumento das doenças, que devem ser analisados por sexo e faixa etária, no sentido de qualificar as intervenções com as mulheres e com os homens, tornando as repostas mais efectivas. A evolução na abordagem da</w:t>
      </w:r>
      <w:r w:rsidRPr="00C90523">
        <w:rPr>
          <w:rFonts w:cs="Arial"/>
        </w:rPr>
        <w:t xml:space="preserve"> doença/saúde, no contexto da modernização do sector saúde, exige assim que as estratégias de atuação tomem em linha de conta vários aspectos da vida das pessoas, numa perspectiva mais social e complementar à perspectiva biomédica. São vários os factores de risco modificáveis para as DNT, quais sejam o uso abusivo do álcool e de outras substâncias psicotrópicas, o sobrepeso e a obesidade, entre outros, e que claramente apresentam padrões diferenciados em razão do género. </w:t>
      </w:r>
    </w:p>
    <w:p w:rsidR="004F127D" w:rsidRPr="00C90523" w:rsidRDefault="004F127D" w:rsidP="000079EB">
      <w:pPr>
        <w:spacing w:after="0"/>
        <w:jc w:val="both"/>
        <w:rPr>
          <w:rFonts w:cs="Arial"/>
        </w:rPr>
      </w:pPr>
    </w:p>
    <w:p w:rsidR="004F127D" w:rsidRPr="00C90523" w:rsidRDefault="004F127D" w:rsidP="000079EB">
      <w:pPr>
        <w:pStyle w:val="Corpodetexto"/>
        <w:autoSpaceDE w:val="0"/>
        <w:autoSpaceDN w:val="0"/>
        <w:spacing w:line="276" w:lineRule="auto"/>
        <w:rPr>
          <w:rFonts w:asciiTheme="minorHAnsi" w:eastAsiaTheme="minorHAnsi" w:hAnsiTheme="minorHAnsi" w:cs="Arial"/>
          <w:sz w:val="22"/>
          <w:szCs w:val="22"/>
          <w:lang w:val="pt-PT" w:eastAsia="es-EC"/>
        </w:rPr>
      </w:pPr>
      <w:r w:rsidRPr="00C90523">
        <w:rPr>
          <w:rFonts w:asciiTheme="minorHAnsi" w:eastAsiaTheme="minorHAnsi" w:hAnsiTheme="minorHAnsi" w:cs="Arial"/>
          <w:sz w:val="22"/>
          <w:szCs w:val="22"/>
          <w:lang w:val="pt-PT" w:eastAsia="es-EC"/>
        </w:rPr>
        <w:t>O PNDS sublinha o peso da morbimortalidade devido às causas externas (acidentes, violência), que como acima referido afectam em particular os homens. A análise de género do PNDS refere que estes indicadores, entre outros, apontam para a necessidade de aprofundar o debate sobre masculinidades, género e políticas públicas e que será difícil perspectivar mudança de comportamento sem abordar a temática desde este prisma. Nesse sentido, as campanhas de sensibilização e estratégias de</w:t>
      </w:r>
      <w:r w:rsidR="00333E19" w:rsidRPr="00C90523">
        <w:rPr>
          <w:rFonts w:asciiTheme="minorHAnsi" w:eastAsiaTheme="minorHAnsi" w:hAnsiTheme="minorHAnsi" w:cs="Arial"/>
          <w:sz w:val="22"/>
          <w:szCs w:val="22"/>
          <w:lang w:val="pt-PT" w:eastAsia="es-EC"/>
        </w:rPr>
        <w:t xml:space="preserve"> Informação, Educação e Comunicação</w:t>
      </w:r>
      <w:r w:rsidR="00C90523">
        <w:rPr>
          <w:rFonts w:asciiTheme="minorHAnsi" w:eastAsiaTheme="minorHAnsi" w:hAnsiTheme="minorHAnsi" w:cs="Arial"/>
          <w:sz w:val="22"/>
          <w:szCs w:val="22"/>
          <w:lang w:val="pt-PT" w:eastAsia="es-EC"/>
        </w:rPr>
        <w:t xml:space="preserve"> </w:t>
      </w:r>
      <w:r w:rsidR="006568A3" w:rsidRPr="006568A3">
        <w:rPr>
          <w:rFonts w:asciiTheme="minorHAnsi" w:eastAsiaTheme="minorHAnsi" w:hAnsiTheme="minorHAnsi" w:cs="Arial"/>
          <w:sz w:val="22"/>
          <w:szCs w:val="22"/>
          <w:lang w:val="pt-PT" w:eastAsia="es-EC"/>
        </w:rPr>
        <w:t>(</w:t>
      </w:r>
      <w:r w:rsidRPr="00C90523">
        <w:rPr>
          <w:rFonts w:asciiTheme="minorHAnsi" w:eastAsiaTheme="minorHAnsi" w:hAnsiTheme="minorHAnsi" w:cs="Arial"/>
          <w:sz w:val="22"/>
          <w:szCs w:val="22"/>
          <w:lang w:val="pt-PT" w:eastAsia="es-EC"/>
        </w:rPr>
        <w:t>IEC</w:t>
      </w:r>
      <w:r w:rsidR="00333E19" w:rsidRPr="00C90523">
        <w:rPr>
          <w:rFonts w:asciiTheme="minorHAnsi" w:eastAsiaTheme="minorHAnsi" w:hAnsiTheme="minorHAnsi" w:cs="Arial"/>
          <w:sz w:val="22"/>
          <w:szCs w:val="22"/>
          <w:lang w:val="pt-PT" w:eastAsia="es-EC"/>
        </w:rPr>
        <w:t>)</w:t>
      </w:r>
      <w:r w:rsidRPr="00C90523">
        <w:rPr>
          <w:rFonts w:asciiTheme="minorHAnsi" w:eastAsiaTheme="minorHAnsi" w:hAnsiTheme="minorHAnsi" w:cs="Arial"/>
          <w:sz w:val="22"/>
          <w:szCs w:val="22"/>
          <w:lang w:val="pt-PT" w:eastAsia="es-EC"/>
        </w:rPr>
        <w:t xml:space="preserve"> terão de </w:t>
      </w:r>
      <w:r w:rsidRPr="00861276">
        <w:rPr>
          <w:rFonts w:asciiTheme="minorHAnsi" w:eastAsiaTheme="minorHAnsi" w:hAnsiTheme="minorHAnsi" w:cs="Arial"/>
          <w:sz w:val="22"/>
          <w:szCs w:val="22"/>
          <w:lang w:val="pt-PT" w:eastAsia="es-EC"/>
        </w:rPr>
        <w:t>envolver hom</w:t>
      </w:r>
      <w:r w:rsidRPr="00C90523">
        <w:rPr>
          <w:rFonts w:asciiTheme="minorHAnsi" w:eastAsiaTheme="minorHAnsi" w:hAnsiTheme="minorHAnsi" w:cs="Arial"/>
          <w:sz w:val="22"/>
          <w:szCs w:val="22"/>
          <w:lang w:val="pt-PT" w:eastAsia="es-EC"/>
        </w:rPr>
        <w:t>ens jovens e adultos.</w:t>
      </w:r>
    </w:p>
    <w:p w:rsidR="004F127D" w:rsidRPr="00C90523" w:rsidRDefault="004F127D" w:rsidP="000079EB">
      <w:pPr>
        <w:pStyle w:val="Corpodetexto"/>
        <w:autoSpaceDE w:val="0"/>
        <w:autoSpaceDN w:val="0"/>
        <w:spacing w:line="276" w:lineRule="auto"/>
        <w:rPr>
          <w:rFonts w:asciiTheme="minorHAnsi" w:eastAsiaTheme="minorHAnsi" w:hAnsiTheme="minorHAnsi" w:cs="Arial"/>
          <w:sz w:val="22"/>
          <w:szCs w:val="22"/>
          <w:lang w:val="pt-PT" w:eastAsia="es-EC"/>
        </w:rPr>
      </w:pPr>
    </w:p>
    <w:p w:rsidR="004F127D" w:rsidRPr="00C90523" w:rsidRDefault="004F127D" w:rsidP="000079EB">
      <w:pPr>
        <w:spacing w:after="0"/>
        <w:jc w:val="both"/>
        <w:rPr>
          <w:rFonts w:cs="Arial"/>
        </w:rPr>
      </w:pPr>
      <w:r w:rsidRPr="00C90523">
        <w:rPr>
          <w:rFonts w:cs="Arial"/>
        </w:rPr>
        <w:t>Refere ainda que os “</w:t>
      </w:r>
      <w:r w:rsidRPr="00C90523">
        <w:rPr>
          <w:rFonts w:cs="Arial"/>
          <w:i/>
        </w:rPr>
        <w:t>jovens e homens precisam ser priorizados, considerando as tendências epidemiológicas e dados sobre os agravos à saúde e dificuldades de acesso a rede de atenção primária</w:t>
      </w:r>
      <w:r w:rsidRPr="00C90523">
        <w:rPr>
          <w:rFonts w:cs="Arial"/>
        </w:rPr>
        <w:t>”</w:t>
      </w:r>
      <w:r w:rsidRPr="00C90523">
        <w:rPr>
          <w:rStyle w:val="Refdenotaderodap"/>
          <w:rFonts w:cs="Arial"/>
        </w:rPr>
        <w:footnoteReference w:id="25"/>
      </w:r>
      <w:r w:rsidRPr="00C90523">
        <w:rPr>
          <w:rFonts w:cs="Arial"/>
        </w:rPr>
        <w:t xml:space="preserve"> tradicionalmente orientada à saúde materno-infantil. Preconiza-se assim a identificação de </w:t>
      </w:r>
      <w:r w:rsidRPr="00861276">
        <w:rPr>
          <w:rFonts w:cs="Arial"/>
        </w:rPr>
        <w:t>populações/grupos específicos por tipologia de doença, o que implica investir na produção de dados desagregados por sexo, e análise de determinantes numa perspectiva de género, para uma melhor análise, e r</w:t>
      </w:r>
      <w:r w:rsidRPr="00C90523">
        <w:rPr>
          <w:rFonts w:cs="Arial"/>
        </w:rPr>
        <w:t xml:space="preserve">eposta, aos impactos diferenciados na saúde dos homens e das mulheres. </w:t>
      </w:r>
    </w:p>
    <w:p w:rsidR="004F127D" w:rsidRPr="00C90523" w:rsidRDefault="004F127D" w:rsidP="000079EB">
      <w:pPr>
        <w:spacing w:after="0"/>
        <w:jc w:val="both"/>
        <w:rPr>
          <w:rFonts w:cs="Arial"/>
        </w:rPr>
      </w:pPr>
    </w:p>
    <w:p w:rsidR="004F127D" w:rsidRPr="00C90523" w:rsidRDefault="004F127D" w:rsidP="000079EB">
      <w:pPr>
        <w:spacing w:after="0"/>
        <w:jc w:val="both"/>
        <w:rPr>
          <w:rFonts w:cs="Arial"/>
        </w:rPr>
      </w:pPr>
      <w:r w:rsidRPr="00C90523">
        <w:rPr>
          <w:rFonts w:cs="Arial"/>
        </w:rPr>
        <w:t xml:space="preserve">De referir que os progressos relativamente à esperança de vida em Cabo Verde continuam: a esperança de vida passou de 75 para 79,1 anos entre as mulheres, e de 67 para 69,7 anos entre os homens, entre 2000 e 2010. </w:t>
      </w:r>
    </w:p>
    <w:p w:rsidR="004F127D" w:rsidRPr="00C90523" w:rsidRDefault="004F127D" w:rsidP="000079EB">
      <w:pPr>
        <w:spacing w:after="0"/>
        <w:jc w:val="both"/>
        <w:rPr>
          <w:rFonts w:cs="Arial"/>
        </w:rPr>
      </w:pPr>
    </w:p>
    <w:p w:rsidR="004F127D" w:rsidRPr="00C90523" w:rsidRDefault="006568A3" w:rsidP="00E60FC4">
      <w:pPr>
        <w:pStyle w:val="Cabealho3"/>
      </w:pPr>
      <w:bookmarkStart w:id="34" w:name="_Toc402442228"/>
      <w:bookmarkStart w:id="35" w:name="_Toc406667280"/>
      <w:r w:rsidRPr="006568A3">
        <w:t>1.2.2. Principais indicadores relacionados com os direitos sexuais e reprodutivos</w:t>
      </w:r>
      <w:bookmarkEnd w:id="34"/>
      <w:bookmarkEnd w:id="35"/>
    </w:p>
    <w:p w:rsidR="004F127D" w:rsidRPr="00C90523" w:rsidRDefault="004F127D" w:rsidP="000079EB">
      <w:pPr>
        <w:shd w:val="clear" w:color="auto" w:fill="FFFFFF"/>
        <w:spacing w:after="0"/>
        <w:jc w:val="both"/>
        <w:rPr>
          <w:rFonts w:eastAsia="Times New Roman" w:cs="Arial"/>
        </w:rPr>
      </w:pPr>
    </w:p>
    <w:p w:rsidR="004F127D" w:rsidRPr="00861276" w:rsidRDefault="004F127D" w:rsidP="000079EB">
      <w:pPr>
        <w:shd w:val="clear" w:color="auto" w:fill="FFFFFF"/>
        <w:spacing w:after="0"/>
        <w:jc w:val="both"/>
        <w:rPr>
          <w:rFonts w:eastAsia="Times New Roman" w:cs="Arial"/>
        </w:rPr>
      </w:pPr>
      <w:r w:rsidRPr="00C90523">
        <w:rPr>
          <w:rFonts w:eastAsia="Times New Roman" w:cs="Arial"/>
        </w:rPr>
        <w:t>O controlo da sexualidade, como a VBG, é um domínio em que as relações de poder desequilibradas dos homens sobre as mulheres se manifestam, em particular</w:t>
      </w:r>
      <w:r w:rsidRPr="00861276">
        <w:rPr>
          <w:rFonts w:eastAsia="Times New Roman" w:cs="Arial"/>
        </w:rPr>
        <w:t xml:space="preserve"> na tomada de decisão quanto a quando, como e com quem as mulheres escolhem ter relações sexuais, com ou sem protecção contra as IST e o VIH/SIDA, bem como em relação ao controlo da reprodução e planeamento familiar. </w:t>
      </w:r>
    </w:p>
    <w:p w:rsidR="004F127D" w:rsidRPr="00C90523" w:rsidRDefault="004F127D" w:rsidP="000079EB">
      <w:pPr>
        <w:shd w:val="clear" w:color="auto" w:fill="FFFFFF"/>
        <w:spacing w:after="0"/>
        <w:jc w:val="both"/>
        <w:rPr>
          <w:rFonts w:eastAsia="Times New Roman" w:cs="Arial"/>
        </w:rPr>
      </w:pPr>
    </w:p>
    <w:p w:rsidR="004F127D" w:rsidRPr="00C90523" w:rsidRDefault="004F127D" w:rsidP="000079EB">
      <w:pPr>
        <w:spacing w:after="0"/>
        <w:jc w:val="both"/>
      </w:pPr>
      <w:r w:rsidRPr="00C90523">
        <w:rPr>
          <w:rFonts w:eastAsia="Times New Roman" w:cs="Arial"/>
          <w:color w:val="000000"/>
        </w:rPr>
        <w:t xml:space="preserve">A saúde da mulher, em particular a saúde materna, tem sido uma área de intervenção prioritária ao longo das últimas décadas, investimentos que permitiram grandes progressos em termos da </w:t>
      </w:r>
      <w:r w:rsidRPr="00C90523">
        <w:t>mortalidade materna. Tem rondado, em média, 36,6 por 100.000 nos últimos 5 anos (com oscilações de 1-2 óbitos por ano a um máximo de 4-5). Em</w:t>
      </w:r>
      <w:r w:rsidRPr="00C90523">
        <w:rPr>
          <w:rFonts w:eastAsia="Times New Roman" w:cs="Arial"/>
          <w:color w:val="000000"/>
        </w:rPr>
        <w:t xml:space="preserve"> </w:t>
      </w:r>
      <w:r w:rsidRPr="00C90523">
        <w:rPr>
          <w:rFonts w:eastAsia="Times New Roman" w:cs="Arial"/>
        </w:rPr>
        <w:t>2012, 94% dos partos foram assistidos por profissionais de saúde qualificados (um aumento em praticamente 20 pontos percentuais em relação aos partos realizados em 2007), com uma evolução marcada dos serviços nas zonas rurais (de 36% para 63,5%, de acordo com os dados do IDRS I (1998) e do IDRS II (2005), respectivamente). A</w:t>
      </w:r>
      <w:r w:rsidRPr="00C90523">
        <w:rPr>
          <w:rFonts w:eastAsia="Times New Roman" w:cs="Arial"/>
          <w:color w:val="000000"/>
        </w:rPr>
        <w:t xml:space="preserve"> taxa de grávidas que realizam pelo menos 1 consulta de pré-natal foi em 2013 de 95% e, de acordo com o IDSR I e II, a taxa de grávidas que efectua pelo menos 4 consultas passou de 64% para 72% entre 1998 e 2005. </w:t>
      </w:r>
      <w:r w:rsidRPr="00C90523">
        <w:t>O número médio de filhos por mulher tem diminuído (de 2,9 em 2005 para 2,3 em 2010).</w:t>
      </w:r>
      <w:r w:rsidRPr="00C90523">
        <w:rPr>
          <w:rFonts w:eastAsia="Times New Roman" w:cs="Arial"/>
          <w:color w:val="000000"/>
        </w:rPr>
        <w:t xml:space="preserve"> Entretanto a t</w:t>
      </w:r>
      <w:r w:rsidRPr="00C90523">
        <w:t>axa específica de fecundidade entre as adolescentes (15-19) desceu de 104‰ em 1998, para 92‰ em 2005, e para 62‰ em 2010. Os dados administrativos da saúde mostram que 2 em cada 10 grávidas atendidas em 2012 nas consultas pré-natais eram adolescentes de menos de 19 anos (20%), quando em 2010 representavam 3 em cada 10 grávidas (30,5%). As adolescentes mais jovens (menores de 17 anos) representam em 2012 cerca de 5% do total, quando em 2007 representavam 11,4%.</w:t>
      </w:r>
    </w:p>
    <w:p w:rsidR="004F127D" w:rsidRPr="00C90523" w:rsidRDefault="004F127D" w:rsidP="000079EB">
      <w:pPr>
        <w:spacing w:after="0"/>
        <w:jc w:val="both"/>
        <w:rPr>
          <w:rFonts w:eastAsia="Times New Roman" w:cs="Arial"/>
          <w:color w:val="000000"/>
        </w:rPr>
      </w:pPr>
    </w:p>
    <w:p w:rsidR="004F127D" w:rsidRPr="00C90523" w:rsidRDefault="004F127D" w:rsidP="000079EB">
      <w:pPr>
        <w:spacing w:after="0"/>
        <w:jc w:val="both"/>
      </w:pPr>
      <w:bookmarkStart w:id="36" w:name="_Toc393658051"/>
      <w:bookmarkStart w:id="37" w:name="_Toc395448009"/>
      <w:r w:rsidRPr="00C90523">
        <w:t>Em 2012 foram avaliados os serviços de SSR para Adolescentes, estabelecidos desde 2008, mostrando que embora atinjam a cobertura necessária, há necessidade de ajustes em termos de infra-estrutura e capacitação de recursos humanos. As recomendações apontaram, entre outras, para: i) a incorporação de discussões de género nas ações de SSR; ii) o aproveitamento da presença masculina nos Centros da Juventude para aprofundar esta reflexão, em especial no que se refere ao exercício das masculinidades; iii) a capitalização da janela de oportunidade aberta pela Lei sobre VBG para o aprofundamento da discussão das diferentes expressões das desigualdades de género, especialmente as que se reflectem nas práticas de SSR; iv) a incorporação de uma abordagem da sexualidade nas intervenções; v) o reforço do trabalho educativo em sexualidade nas comunidades, com vista a atingir a família; vi) a promoção da educação de pares; e viii) a capacitação permanente do pessoal dos serviços de SSR.</w:t>
      </w:r>
    </w:p>
    <w:p w:rsidR="004F127D" w:rsidRPr="00C90523" w:rsidRDefault="004F127D" w:rsidP="000079EB">
      <w:pPr>
        <w:spacing w:after="0"/>
      </w:pPr>
    </w:p>
    <w:bookmarkEnd w:id="36"/>
    <w:bookmarkEnd w:id="37"/>
    <w:p w:rsidR="004F127D" w:rsidRPr="00C90523" w:rsidRDefault="004F127D" w:rsidP="000079EB">
      <w:pPr>
        <w:spacing w:after="0"/>
        <w:jc w:val="both"/>
        <w:rPr>
          <w:rFonts w:eastAsia="Times New Roman" w:cs="Arial"/>
        </w:rPr>
      </w:pPr>
      <w:r w:rsidRPr="00C90523">
        <w:rPr>
          <w:rFonts w:eastAsia="Times New Roman" w:cs="Arial"/>
        </w:rPr>
        <w:t xml:space="preserve">A taxa de prevalência contraceptiva (uso actual de um método entre as mulheres casadas/unidas ou que não vivem em união mas são sexualmente activas) passou de 37% para 44% entre 1998 e 2005. A realização do IDSR III, previsto para 2014/2015, permitirá confirmar a situação actual. A taxa para o uso de um método moderno foi, em 2005 de 42%, taxa que se eleva a 57% entre as mulheres em união e para 70% entre as mulheres não unidas sexualmente ativas. A taxa de </w:t>
      </w:r>
      <w:r w:rsidRPr="00C90523">
        <w:t>necessidade não satisfeita em matéria de planeamento familiar foi de 16,7%, sendo superior entre as mulheres do meio rural (19,6% comparado com 14,4% entre as mulheres do meio urbano). Entre as adolescentes (15-19) é também mais elevada: 23,3%.</w:t>
      </w:r>
    </w:p>
    <w:p w:rsidR="004F127D" w:rsidRPr="00C90523" w:rsidRDefault="004F127D" w:rsidP="000079EB">
      <w:pPr>
        <w:spacing w:after="0"/>
        <w:jc w:val="both"/>
      </w:pPr>
    </w:p>
    <w:p w:rsidR="004F127D" w:rsidRPr="00C90523" w:rsidRDefault="004F127D" w:rsidP="000079EB">
      <w:pPr>
        <w:spacing w:after="0"/>
        <w:jc w:val="both"/>
      </w:pPr>
      <w:r w:rsidRPr="00C90523">
        <w:t xml:space="preserve">A taxa de VIH/SIDA era, em 2005, de 0,8% (0,4% entre as mulheres e 1,1% entre os homens de 15-49 anos). Contudo, os dados administrativos do Ministério da Saúde mostram uma tendência ao aumento da prevalência entre as grávidas (0,7% em 2011, 0,8% em 2011 e 1% em 2013), especialmente entre as jovens (15-24) (0,96% em 2013). Também entre populações específicas, nesse mesmo período, passando de 5,3% para 7,7% entre as trabalhadoras do sexo (TS), uma população essencialmente feminina, e de 3,6% para 3,9% entre os usuários de droga (UD). As mulheres representam 2,5% da população UD testada, mas têm uma taxa de prevalência superior à dos homens (5,6% contra 3,9%). Dados que são preocupantes tendo em conta a </w:t>
      </w:r>
      <w:r w:rsidRPr="00C90523">
        <w:rPr>
          <w:rFonts w:cs="Arial"/>
        </w:rPr>
        <w:t>vulnerabilidade física das mulheres à infecção pelo VIH, mas também as questões ligadas à capacidade de negociação de relações sexuais seguras, devido aos papéis de género atribuídos a homens e a mulheres.</w:t>
      </w:r>
    </w:p>
    <w:p w:rsidR="004F127D" w:rsidRPr="00C90523" w:rsidRDefault="004F127D" w:rsidP="000079EB">
      <w:pPr>
        <w:spacing w:after="0"/>
        <w:jc w:val="both"/>
        <w:rPr>
          <w:rFonts w:cs="Arial"/>
        </w:rPr>
      </w:pPr>
    </w:p>
    <w:p w:rsidR="004F127D" w:rsidRPr="00C90523" w:rsidRDefault="004F127D" w:rsidP="000079EB">
      <w:pPr>
        <w:spacing w:after="0"/>
        <w:jc w:val="both"/>
        <w:rPr>
          <w:rFonts w:cs="Arial"/>
        </w:rPr>
      </w:pPr>
      <w:r w:rsidRPr="00C90523">
        <w:rPr>
          <w:rFonts w:cs="Arial"/>
        </w:rPr>
        <w:t>A esse respeito o APIS (2012) mostra que subsiste um nível considerável de comportamento de risco no exercício da sexualidade:</w:t>
      </w:r>
    </w:p>
    <w:p w:rsidR="004F127D" w:rsidRPr="00C90523" w:rsidRDefault="006568A3" w:rsidP="00243978">
      <w:pPr>
        <w:pStyle w:val="Default"/>
        <w:numPr>
          <w:ilvl w:val="0"/>
          <w:numId w:val="19"/>
        </w:numPr>
        <w:spacing w:line="276" w:lineRule="auto"/>
        <w:jc w:val="both"/>
        <w:rPr>
          <w:rFonts w:asciiTheme="minorHAnsi" w:hAnsiTheme="minorHAnsi" w:cs="Arial"/>
          <w:sz w:val="22"/>
          <w:szCs w:val="22"/>
        </w:rPr>
      </w:pPr>
      <w:r w:rsidRPr="006568A3">
        <w:rPr>
          <w:rFonts w:asciiTheme="minorHAnsi" w:hAnsiTheme="minorHAnsi" w:cs="Arial"/>
          <w:color w:val="auto"/>
          <w:sz w:val="22"/>
          <w:szCs w:val="22"/>
          <w:lang w:eastAsia="es-EC"/>
        </w:rPr>
        <w:t>Entre os adultos (15-49 anos) cerca de 61% dos homens e 54% das mulheres referem ter tido relações sexuais de risco nos últimos 12 meses, proporção que aumenta entre os jovens (15-24 anos): cerca de 9 em cada 10 jovens homens estão nessa situação (91%) e 8 em cada 10 jovem mulheres (79%)</w:t>
      </w:r>
    </w:p>
    <w:p w:rsidR="004F127D" w:rsidRPr="00C90523" w:rsidRDefault="006568A3" w:rsidP="00243978">
      <w:pPr>
        <w:pStyle w:val="Default"/>
        <w:numPr>
          <w:ilvl w:val="0"/>
          <w:numId w:val="19"/>
        </w:numPr>
        <w:spacing w:line="276" w:lineRule="auto"/>
        <w:jc w:val="both"/>
        <w:rPr>
          <w:rFonts w:asciiTheme="minorHAnsi" w:hAnsiTheme="minorHAnsi" w:cs="Arial"/>
          <w:sz w:val="22"/>
          <w:szCs w:val="22"/>
        </w:rPr>
      </w:pPr>
      <w:r w:rsidRPr="006568A3">
        <w:rPr>
          <w:rFonts w:asciiTheme="minorHAnsi" w:hAnsiTheme="minorHAnsi" w:cs="Arial"/>
          <w:color w:val="auto"/>
          <w:sz w:val="22"/>
          <w:szCs w:val="22"/>
        </w:rPr>
        <w:t xml:space="preserve">O uso do preservativo na última relação de risco é contudo mais elevado entre os jovens (15-24 anos) do que entre os adultos (15-49 anos): </w:t>
      </w:r>
      <w:r w:rsidRPr="006568A3">
        <w:rPr>
          <w:rFonts w:asciiTheme="minorHAnsi" w:hAnsiTheme="minorHAnsi" w:cs="Arial"/>
          <w:sz w:val="22"/>
          <w:szCs w:val="22"/>
        </w:rPr>
        <w:t>84% dos jovens e 80% das jovens, comparado, nos adultos com 73% dos homens e 57% das mulheres. A discrepância entre sexos é menor nas gerações mais jovens.</w:t>
      </w:r>
    </w:p>
    <w:p w:rsidR="004F127D" w:rsidRPr="00C90523" w:rsidRDefault="006568A3" w:rsidP="00243978">
      <w:pPr>
        <w:pStyle w:val="Default"/>
        <w:numPr>
          <w:ilvl w:val="0"/>
          <w:numId w:val="19"/>
        </w:numPr>
        <w:spacing w:line="276" w:lineRule="auto"/>
        <w:jc w:val="both"/>
        <w:rPr>
          <w:rFonts w:asciiTheme="minorHAnsi" w:hAnsiTheme="minorHAnsi" w:cs="Arial"/>
          <w:sz w:val="22"/>
          <w:szCs w:val="22"/>
        </w:rPr>
      </w:pPr>
      <w:r w:rsidRPr="006568A3">
        <w:rPr>
          <w:rFonts w:asciiTheme="minorHAnsi" w:hAnsiTheme="minorHAnsi" w:cs="Arial"/>
          <w:sz w:val="22"/>
          <w:szCs w:val="22"/>
        </w:rPr>
        <w:t>Entre os jovens (</w:t>
      </w:r>
      <w:r w:rsidRPr="006568A3">
        <w:rPr>
          <w:rFonts w:asciiTheme="minorHAnsi" w:hAnsiTheme="minorHAnsi" w:cs="Arial"/>
          <w:color w:val="auto"/>
          <w:sz w:val="22"/>
          <w:szCs w:val="22"/>
          <w:lang w:eastAsia="es-EC"/>
        </w:rPr>
        <w:t>15 -24 anos), cerca de 4 em cada 10 jovem homens reporta ter tido relações sexuais com mais de um parceiro nos últimos 12 meses (41%), o que acontece com 1 em cada 10 jovem mulheres (9,5%).</w:t>
      </w:r>
    </w:p>
    <w:p w:rsidR="004F127D" w:rsidRPr="00C90523" w:rsidRDefault="004F127D" w:rsidP="000079EB">
      <w:pPr>
        <w:spacing w:after="0"/>
        <w:jc w:val="both"/>
        <w:rPr>
          <w:rFonts w:cs="Arial"/>
        </w:rPr>
      </w:pPr>
    </w:p>
    <w:p w:rsidR="004F127D" w:rsidRPr="00C90523" w:rsidRDefault="004F127D" w:rsidP="000079EB">
      <w:pPr>
        <w:spacing w:after="0"/>
        <w:jc w:val="both"/>
        <w:rPr>
          <w:rFonts w:cs="Arial"/>
        </w:rPr>
      </w:pPr>
      <w:r w:rsidRPr="00861276">
        <w:rPr>
          <w:rFonts w:cs="Arial"/>
        </w:rPr>
        <w:t>De referir que as mulheres continuam a ter mais acesso ao teste do VIH: os dados de 2012 mostram que 47% das mulheres realizaram o teste do VIH/SIDA e receberam o resultado, o que</w:t>
      </w:r>
      <w:r w:rsidRPr="00C90523">
        <w:rPr>
          <w:rFonts w:cs="Arial"/>
        </w:rPr>
        <w:t xml:space="preserve"> acontece com 28% dos homens. Um número considerável de testes de VIH são efectuados no contexto programa de transmissão vertical do VIH, o que tem permitido melhorar a identificação precoce das mulheres seropositivas, e que o tratamento ARV seja iniciado em boas condições, para além de reduzir o número de crianças seropositivas (a transmissão vertical do VIH passou de 5,6% em 2011 para 2,9% 2013).</w:t>
      </w:r>
    </w:p>
    <w:p w:rsidR="004F127D" w:rsidRPr="00C90523" w:rsidRDefault="004F127D" w:rsidP="000079EB">
      <w:pPr>
        <w:spacing w:after="0"/>
        <w:jc w:val="both"/>
      </w:pPr>
    </w:p>
    <w:p w:rsidR="004F127D" w:rsidRPr="00C90523" w:rsidRDefault="006568A3" w:rsidP="00E60FC4">
      <w:pPr>
        <w:pStyle w:val="Cabealho3"/>
      </w:pPr>
      <w:bookmarkStart w:id="38" w:name="_Toc402442229"/>
      <w:bookmarkStart w:id="39" w:name="_Toc406667281"/>
      <w:r w:rsidRPr="006568A3">
        <w:t>1.2.3. Principais indicadores relacionados com a violência baseada no género</w:t>
      </w:r>
      <w:bookmarkEnd w:id="38"/>
      <w:bookmarkEnd w:id="39"/>
    </w:p>
    <w:p w:rsidR="004F127D" w:rsidRPr="00C90523" w:rsidRDefault="004F127D" w:rsidP="000079EB">
      <w:pPr>
        <w:autoSpaceDE w:val="0"/>
        <w:autoSpaceDN w:val="0"/>
        <w:adjustRightInd w:val="0"/>
        <w:spacing w:after="0"/>
        <w:jc w:val="both"/>
      </w:pPr>
    </w:p>
    <w:p w:rsidR="004F127D" w:rsidRPr="00861276" w:rsidRDefault="004F127D" w:rsidP="000079EB">
      <w:pPr>
        <w:autoSpaceDE w:val="0"/>
        <w:autoSpaceDN w:val="0"/>
        <w:adjustRightInd w:val="0"/>
        <w:spacing w:after="0"/>
        <w:jc w:val="both"/>
      </w:pPr>
      <w:r w:rsidRPr="00C90523">
        <w:t>A análise detalhada da situação da VBG foi feita em sede própria, no contexto da elaboração do 2º Plano Nacional de combate à VBG. Assim sendo, é feita apenas uma referência sumária a esta questão, remetendo para a leitura do PNVBG (2014-2016).</w:t>
      </w:r>
    </w:p>
    <w:p w:rsidR="004F127D" w:rsidRPr="00C90523" w:rsidRDefault="004F127D" w:rsidP="000079EB">
      <w:pPr>
        <w:autoSpaceDE w:val="0"/>
        <w:autoSpaceDN w:val="0"/>
        <w:adjustRightInd w:val="0"/>
        <w:spacing w:after="0"/>
        <w:jc w:val="both"/>
      </w:pPr>
    </w:p>
    <w:p w:rsidR="004F127D" w:rsidRPr="00C90523" w:rsidRDefault="004F127D" w:rsidP="000079EB">
      <w:pPr>
        <w:autoSpaceDE w:val="0"/>
        <w:autoSpaceDN w:val="0"/>
        <w:adjustRightInd w:val="0"/>
        <w:spacing w:after="0"/>
        <w:jc w:val="both"/>
        <w:rPr>
          <w:rFonts w:eastAsia="Times New Roman" w:cs="Arial"/>
        </w:rPr>
      </w:pPr>
      <w:r w:rsidRPr="00C90523">
        <w:rPr>
          <w:rFonts w:eastAsia="Times New Roman" w:cs="Arial"/>
          <w:color w:val="000000"/>
        </w:rPr>
        <w:t xml:space="preserve">Os dados sobre a prevalência da VBG, que datam de 2005, </w:t>
      </w:r>
      <w:r w:rsidRPr="00C90523">
        <w:t>mostram que mais de 1 em cada 5 mulheres (19%) em Cabo Verde é vítima de violência no marco das relações conjugais (presentes ou passadas).</w:t>
      </w:r>
      <w:r w:rsidRPr="00C90523">
        <w:rPr>
          <w:rStyle w:val="Refdenotaderodap"/>
        </w:rPr>
        <w:footnoteReference w:id="26"/>
      </w:r>
      <w:r w:rsidRPr="00C90523">
        <w:rPr>
          <w:rFonts w:eastAsia="Times New Roman" w:cs="Arial"/>
          <w:color w:val="000000"/>
        </w:rPr>
        <w:t xml:space="preserve"> Incluindo violência física (16%), psicológica (14%) ou sexual (4%), sendo a proporção de mulheres que procura apo</w:t>
      </w:r>
      <w:r w:rsidRPr="00861276">
        <w:rPr>
          <w:rFonts w:eastAsia="Times New Roman" w:cs="Arial"/>
          <w:color w:val="000000"/>
        </w:rPr>
        <w:t>io muito reduzida. O IDSR III, a ser realizado em 2014, permitirá uma actualização da situação.</w:t>
      </w:r>
      <w:r w:rsidRPr="00C90523">
        <w:rPr>
          <w:rFonts w:eastAsia="Times New Roman" w:cs="Arial"/>
        </w:rPr>
        <w:t xml:space="preserve"> </w:t>
      </w:r>
    </w:p>
    <w:p w:rsidR="004F127D" w:rsidRPr="00C90523" w:rsidRDefault="004F127D" w:rsidP="000079EB">
      <w:pPr>
        <w:autoSpaceDE w:val="0"/>
        <w:autoSpaceDN w:val="0"/>
        <w:adjustRightInd w:val="0"/>
        <w:spacing w:after="0"/>
        <w:jc w:val="both"/>
        <w:rPr>
          <w:rFonts w:eastAsia="Times New Roman" w:cs="Arial"/>
        </w:rPr>
      </w:pPr>
    </w:p>
    <w:p w:rsidR="004F127D" w:rsidRPr="00C90523" w:rsidRDefault="004F127D" w:rsidP="000079EB">
      <w:pPr>
        <w:autoSpaceDE w:val="0"/>
        <w:autoSpaceDN w:val="0"/>
        <w:adjustRightInd w:val="0"/>
        <w:spacing w:after="0"/>
        <w:jc w:val="both"/>
        <w:rPr>
          <w:rFonts w:eastAsia="Times New Roman" w:cs="Arial"/>
        </w:rPr>
      </w:pPr>
      <w:r w:rsidRPr="00C90523">
        <w:rPr>
          <w:rFonts w:eastAsia="Times New Roman" w:cs="Arial"/>
        </w:rPr>
        <w:t>Como destacado pelo PNVBG (2014-2016), “</w:t>
      </w:r>
      <w:r w:rsidRPr="00C90523">
        <w:rPr>
          <w:rFonts w:eastAsia="Times New Roman" w:cs="Arial"/>
          <w:i/>
        </w:rPr>
        <w:t>a avaliação do controlo exercido pelo parceiro íntimo é de grande relevância para a percepção da violência baseada no género no país, tendo em vista que esta é uma violência que se concretiza em função do exercício de poder baseado nos papéis e estereótipos de género, construídos para as mulheres e homens na nossa sociedade</w:t>
      </w:r>
      <w:r w:rsidRPr="00C90523">
        <w:rPr>
          <w:rFonts w:eastAsia="Times New Roman" w:cs="Arial"/>
        </w:rPr>
        <w:t>”. A esse respeito os dados do IDSR II (2005) mostram a existência de práticas generalizadas de controlo, tais como “</w:t>
      </w:r>
      <w:r w:rsidRPr="00C90523">
        <w:rPr>
          <w:rFonts w:eastAsia="Times New Roman" w:cs="Arial"/>
          <w:i/>
        </w:rPr>
        <w:t>a imposição de restrições para relacionar-se tanto com pessoas do sexo masculino como feminino mediante cenas de ciúmes (44%); acusações de infidelidade (17%) ou limitações para frequentar ou reunir-se com as amigas (8%). O controlo da mobilidade das mulheres, se traduz numa permanente insistência em saber onde estas se encontram (43%). Também lhes são impostas limitações na gestão dos recursos financeiros, manifestada na falta de confiança em relação ao dinheiro (39%). Ainda mostrou que a percentagem de mulheres que não tem poder de decisão sobre a sua saúde, compras para o lar, visita a familiares ou alimentos a cozinhar ascendia a 24% e que 1/5 das mulheres casadas ou que viviam em união de facto, não tinham nenhum poder de decisão sobre as formas de utilização do dinheiro resultante do salário que ela aufere”.</w:t>
      </w:r>
      <w:r w:rsidRPr="00C90523">
        <w:rPr>
          <w:rStyle w:val="Refdenotaderodap"/>
          <w:rFonts w:eastAsia="Times New Roman" w:cs="Arial"/>
          <w:i/>
        </w:rPr>
        <w:footnoteReference w:id="27"/>
      </w:r>
      <w:r w:rsidRPr="00C90523">
        <w:rPr>
          <w:rFonts w:eastAsia="Times New Roman" w:cs="Arial"/>
        </w:rPr>
        <w:t xml:space="preserve"> Uma</w:t>
      </w:r>
      <w:r w:rsidRPr="00861276">
        <w:rPr>
          <w:rFonts w:eastAsia="Times New Roman" w:cs="Arial"/>
        </w:rPr>
        <w:t xml:space="preserve"> parte considerável da sociedade aceita o usa da violência física como forma legitima de acção disciplinar, por p</w:t>
      </w:r>
      <w:r w:rsidRPr="00C90523">
        <w:rPr>
          <w:rFonts w:eastAsia="Times New Roman" w:cs="Arial"/>
        </w:rPr>
        <w:t>arte do homem (17% das mulheres e 16% dos homens), uma opinião mais partilhada entre as mulheres rurais (26%), com um nível educacional mais baixo (20%), e economicamente dependentes (20%). A VBG tem repercussões tanto sobre as mulheres que a sofrem, como sobre as vítimas indirectas que a ela assistem, em particular os filhos e filhas, frequentemente também vítimas directas.</w:t>
      </w:r>
    </w:p>
    <w:p w:rsidR="004F127D" w:rsidRPr="00C90523" w:rsidRDefault="004F127D" w:rsidP="000079EB">
      <w:pPr>
        <w:autoSpaceDE w:val="0"/>
        <w:autoSpaceDN w:val="0"/>
        <w:adjustRightInd w:val="0"/>
        <w:spacing w:after="0"/>
        <w:jc w:val="both"/>
        <w:rPr>
          <w:rFonts w:eastAsia="Times New Roman" w:cs="Arial"/>
        </w:rPr>
      </w:pPr>
      <w:r w:rsidRPr="00C90523">
        <w:rPr>
          <w:rFonts w:eastAsia="Times New Roman" w:cs="Arial"/>
        </w:rPr>
        <w:t xml:space="preserve"> </w:t>
      </w:r>
    </w:p>
    <w:p w:rsidR="004F127D" w:rsidRPr="00C90523" w:rsidRDefault="004F127D" w:rsidP="000079EB">
      <w:pPr>
        <w:pStyle w:val="Legenda"/>
        <w:spacing w:after="0"/>
        <w:jc w:val="center"/>
        <w:rPr>
          <w:rFonts w:asciiTheme="minorHAnsi" w:eastAsia="Times New Roman" w:hAnsiTheme="minorHAnsi" w:cs="Arial"/>
          <w:color w:val="auto"/>
          <w:sz w:val="20"/>
          <w:szCs w:val="20"/>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3</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–Proporção de mulheres que refere práticas de controlo por parte do marido/companheiro </w:t>
      </w:r>
    </w:p>
    <w:p w:rsidR="004F127D" w:rsidRPr="00C90523" w:rsidRDefault="004F127D" w:rsidP="000079EB">
      <w:pPr>
        <w:autoSpaceDE w:val="0"/>
        <w:autoSpaceDN w:val="0"/>
        <w:adjustRightInd w:val="0"/>
        <w:spacing w:after="0"/>
        <w:jc w:val="center"/>
        <w:rPr>
          <w:rFonts w:eastAsia="Times New Roman" w:cs="Arial"/>
        </w:rPr>
      </w:pPr>
      <w:r w:rsidRPr="00C90523">
        <w:rPr>
          <w:rFonts w:cstheme="minorHAnsi"/>
          <w:noProof/>
        </w:rPr>
        <w:drawing>
          <wp:inline distT="0" distB="0" distL="0" distR="0">
            <wp:extent cx="4705350" cy="2219325"/>
            <wp:effectExtent l="0" t="0" r="19050" b="9525"/>
            <wp:docPr id="681" name="Gráfico 6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127D" w:rsidRPr="00C90523" w:rsidRDefault="004F127D" w:rsidP="000079EB">
      <w:pPr>
        <w:autoSpaceDE w:val="0"/>
        <w:autoSpaceDN w:val="0"/>
        <w:adjustRightInd w:val="0"/>
        <w:spacing w:after="0"/>
        <w:jc w:val="center"/>
        <w:rPr>
          <w:rFonts w:eastAsia="Times New Roman" w:cs="Arial"/>
          <w:sz w:val="20"/>
          <w:szCs w:val="20"/>
        </w:rPr>
      </w:pPr>
      <w:r w:rsidRPr="00861276">
        <w:rPr>
          <w:rFonts w:eastAsia="Times New Roman" w:cs="Arial"/>
          <w:b/>
          <w:sz w:val="20"/>
          <w:szCs w:val="20"/>
        </w:rPr>
        <w:t>Font</w:t>
      </w:r>
      <w:r w:rsidRPr="00C90523">
        <w:rPr>
          <w:rFonts w:eastAsia="Times New Roman" w:cs="Arial"/>
          <w:b/>
          <w:sz w:val="20"/>
          <w:szCs w:val="20"/>
        </w:rPr>
        <w:t xml:space="preserve">e: </w:t>
      </w:r>
      <w:r w:rsidRPr="00C90523">
        <w:rPr>
          <w:rFonts w:eastAsia="Times New Roman" w:cs="Arial"/>
          <w:sz w:val="20"/>
          <w:szCs w:val="20"/>
        </w:rPr>
        <w:t>PNVBG II (p.18), elaborado com base nos dados do INE (2005) IDSR II</w:t>
      </w:r>
    </w:p>
    <w:p w:rsidR="004F127D" w:rsidRPr="00C90523" w:rsidRDefault="004F127D" w:rsidP="000079EB">
      <w:pPr>
        <w:autoSpaceDE w:val="0"/>
        <w:autoSpaceDN w:val="0"/>
        <w:adjustRightInd w:val="0"/>
        <w:spacing w:after="0"/>
        <w:jc w:val="both"/>
        <w:rPr>
          <w:rFonts w:eastAsia="Times New Roman" w:cs="Arial"/>
        </w:rPr>
      </w:pPr>
    </w:p>
    <w:p w:rsidR="004F127D" w:rsidRPr="00C90523" w:rsidRDefault="006568A3" w:rsidP="000079EB">
      <w:pPr>
        <w:pStyle w:val="Default"/>
        <w:spacing w:line="276" w:lineRule="auto"/>
        <w:jc w:val="both"/>
        <w:rPr>
          <w:rFonts w:asciiTheme="minorHAnsi" w:eastAsia="Times New Roman" w:hAnsiTheme="minorHAnsi" w:cs="Arial"/>
          <w:color w:val="auto"/>
          <w:sz w:val="22"/>
          <w:szCs w:val="22"/>
          <w:lang w:eastAsia="es-EC"/>
        </w:rPr>
      </w:pPr>
      <w:r w:rsidRPr="006568A3">
        <w:rPr>
          <w:rFonts w:asciiTheme="minorHAnsi" w:eastAsia="Times New Roman" w:hAnsiTheme="minorHAnsi" w:cs="Arial"/>
          <w:color w:val="auto"/>
          <w:sz w:val="22"/>
          <w:szCs w:val="22"/>
          <w:lang w:eastAsia="es-EC"/>
        </w:rPr>
        <w:t>Conforme referido pelo PNVBG, desde a entrada em vigor da Lei Especial de VBG existe um incremento substancial de denúncias, relacionado entre outros ao “</w:t>
      </w:r>
      <w:r w:rsidRPr="006568A3">
        <w:rPr>
          <w:rFonts w:asciiTheme="minorHAnsi" w:eastAsia="Times New Roman" w:hAnsiTheme="minorHAnsi" w:cs="Arial"/>
          <w:i/>
          <w:color w:val="auto"/>
          <w:sz w:val="22"/>
          <w:szCs w:val="22"/>
          <w:lang w:eastAsia="es-EC"/>
        </w:rPr>
        <w:t>maior grau de informação sobre a VBG, conjugado com a mudança de atitude que já não a considera como socialmente aceitável, bem como pelo facto do procedimento criminal ser público, permitindo a denúncia por qualquer cidadão</w:t>
      </w:r>
      <w:r w:rsidRPr="006568A3">
        <w:rPr>
          <w:rFonts w:asciiTheme="minorHAnsi" w:eastAsia="Times New Roman" w:hAnsiTheme="minorHAnsi" w:cs="Arial"/>
          <w:color w:val="auto"/>
          <w:sz w:val="22"/>
          <w:szCs w:val="22"/>
          <w:lang w:eastAsia="es-EC"/>
        </w:rPr>
        <w:t xml:space="preserve">.” Em 2013 </w:t>
      </w:r>
      <w:r w:rsidRPr="006568A3">
        <w:rPr>
          <w:rFonts w:asciiTheme="minorHAnsi" w:eastAsia="Times New Roman" w:hAnsiTheme="minorHAnsi" w:cs="Arial"/>
          <w:sz w:val="22"/>
          <w:szCs w:val="22"/>
        </w:rPr>
        <w:t>foram submetidos 3.237 processos por crimes desta natureza em 2013 (2.607 em 2010). No ano judicial 2012-2103</w:t>
      </w:r>
      <w:r w:rsidRPr="006568A3">
        <w:rPr>
          <w:rFonts w:asciiTheme="minorHAnsi" w:eastAsia="Times New Roman" w:hAnsiTheme="minorHAnsi" w:cs="Arial"/>
          <w:i/>
          <w:color w:val="auto"/>
          <w:sz w:val="22"/>
          <w:szCs w:val="22"/>
          <w:lang w:eastAsia="es-EC"/>
        </w:rPr>
        <w:t xml:space="preserve"> “os processos de VBG representam 6.5% do total de processos-crime que deram entrada na Procuradoria. Já no que respeita aos processos transitados de um ano para outro, os crimes de VBG representam 4,5% do total”</w:t>
      </w:r>
      <w:r w:rsidRPr="006568A3">
        <w:rPr>
          <w:rFonts w:asciiTheme="minorHAnsi" w:eastAsia="Times New Roman" w:hAnsiTheme="minorHAnsi" w:cs="Arial"/>
          <w:color w:val="auto"/>
          <w:sz w:val="22"/>
          <w:szCs w:val="22"/>
          <w:lang w:eastAsia="es-EC"/>
        </w:rPr>
        <w:t>, enquanto a proporção de processos transitados no caso de outros tipos de crimes é consideravelmente mais elevada, o que aponta “</w:t>
      </w:r>
      <w:r w:rsidRPr="006568A3">
        <w:rPr>
          <w:rFonts w:asciiTheme="minorHAnsi" w:eastAsia="Times New Roman" w:hAnsiTheme="minorHAnsi" w:cs="Arial"/>
          <w:i/>
          <w:color w:val="auto"/>
          <w:sz w:val="22"/>
          <w:szCs w:val="22"/>
          <w:lang w:eastAsia="es-EC"/>
        </w:rPr>
        <w:t>para uma maior eficiência do Ministério Público na resolução dos casos de VBG, em relação com outros processos</w:t>
      </w:r>
      <w:r w:rsidRPr="006568A3">
        <w:rPr>
          <w:rFonts w:asciiTheme="minorHAnsi" w:eastAsia="Times New Roman" w:hAnsiTheme="minorHAnsi" w:cs="Arial"/>
          <w:color w:val="auto"/>
          <w:sz w:val="22"/>
          <w:szCs w:val="22"/>
          <w:lang w:eastAsia="es-EC"/>
        </w:rPr>
        <w:t>”.</w:t>
      </w:r>
    </w:p>
    <w:p w:rsidR="004F127D" w:rsidRPr="00C90523" w:rsidRDefault="004F127D" w:rsidP="000079EB">
      <w:pPr>
        <w:pStyle w:val="Default"/>
        <w:spacing w:line="276" w:lineRule="auto"/>
        <w:jc w:val="both"/>
        <w:rPr>
          <w:rFonts w:asciiTheme="minorHAnsi" w:eastAsia="Times New Roman" w:hAnsiTheme="minorHAnsi" w:cs="Arial"/>
          <w:color w:val="auto"/>
          <w:sz w:val="22"/>
          <w:szCs w:val="22"/>
          <w:lang w:eastAsia="es-EC"/>
        </w:rPr>
      </w:pPr>
    </w:p>
    <w:p w:rsidR="004F127D" w:rsidRPr="00C90523" w:rsidRDefault="006568A3" w:rsidP="00E60FC4">
      <w:pPr>
        <w:pStyle w:val="Cabealho3"/>
      </w:pPr>
      <w:bookmarkStart w:id="40" w:name="_Toc402442230"/>
      <w:bookmarkStart w:id="41" w:name="_Toc406667282"/>
      <w:r w:rsidRPr="006568A3">
        <w:t>1.2.4. Principais indicadores relacionados com a educação e a formação profissional</w:t>
      </w:r>
      <w:bookmarkEnd w:id="40"/>
      <w:bookmarkEnd w:id="41"/>
    </w:p>
    <w:p w:rsidR="004F127D" w:rsidRPr="00C90523" w:rsidRDefault="004F127D" w:rsidP="000079EB">
      <w:pPr>
        <w:spacing w:after="0"/>
      </w:pPr>
    </w:p>
    <w:p w:rsidR="004F127D" w:rsidRPr="00861276" w:rsidRDefault="004F127D" w:rsidP="000079EB">
      <w:pPr>
        <w:spacing w:after="0"/>
        <w:jc w:val="both"/>
        <w:rPr>
          <w:rFonts w:cs="Arial"/>
        </w:rPr>
      </w:pPr>
      <w:bookmarkStart w:id="42" w:name="_Toc202292427"/>
      <w:r w:rsidRPr="00C90523">
        <w:rPr>
          <w:rFonts w:cs="Arial"/>
        </w:rPr>
        <w:t>A educação é fundamental na vida das pessoas, ampliando oportunidades de desenvolvimento, participação e tomada de decisão nos mais variados campos, e enquanto precondição para a eco</w:t>
      </w:r>
      <w:r w:rsidRPr="00861276">
        <w:rPr>
          <w:rFonts w:cs="Arial"/>
        </w:rPr>
        <w:t>nomia. É assinalada como prioridade no DECRP III, que destaca a importância da melhoria da qualidade e da relevância da educação e formação, enquanto factor fundamental de combate ao desemprego.</w:t>
      </w:r>
    </w:p>
    <w:p w:rsidR="004F127D" w:rsidRPr="00C90523" w:rsidRDefault="004F127D" w:rsidP="000079EB">
      <w:pPr>
        <w:spacing w:after="0"/>
        <w:jc w:val="both"/>
        <w:rPr>
          <w:rFonts w:cs="Arial"/>
        </w:rPr>
      </w:pPr>
    </w:p>
    <w:p w:rsidR="004F127D" w:rsidRPr="00C90523" w:rsidRDefault="006568A3" w:rsidP="000079EB">
      <w:pPr>
        <w:spacing w:after="0"/>
        <w:rPr>
          <w:b/>
          <w:i/>
        </w:rPr>
      </w:pPr>
      <w:r w:rsidRPr="006568A3">
        <w:rPr>
          <w:b/>
          <w:i/>
        </w:rPr>
        <w:t>a) Alfabetização</w:t>
      </w:r>
      <w:bookmarkEnd w:id="42"/>
    </w:p>
    <w:p w:rsidR="004F127D" w:rsidRPr="00C90523" w:rsidRDefault="004F127D" w:rsidP="000079EB">
      <w:pPr>
        <w:spacing w:after="0"/>
        <w:jc w:val="both"/>
        <w:rPr>
          <w:rFonts w:cs="Arial"/>
        </w:rPr>
      </w:pPr>
    </w:p>
    <w:p w:rsidR="004F127D" w:rsidRPr="00C90523" w:rsidRDefault="004F127D" w:rsidP="000079EB">
      <w:pPr>
        <w:spacing w:after="0"/>
        <w:jc w:val="both"/>
        <w:rPr>
          <w:rFonts w:cs="Arial"/>
        </w:rPr>
      </w:pPr>
      <w:r w:rsidRPr="00861276">
        <w:rPr>
          <w:rFonts w:cs="Arial"/>
        </w:rPr>
        <w:t>A taxa de alfabetização conti</w:t>
      </w:r>
      <w:r w:rsidRPr="00C90523">
        <w:rPr>
          <w:rFonts w:cs="Arial"/>
        </w:rPr>
        <w:t>nua a progredir em Cabo Verde e, no caso dos adultos (15 anos ou mais), passou de 83% para 87% entre 2010 e 2013.</w:t>
      </w:r>
      <w:r w:rsidRPr="00C90523">
        <w:rPr>
          <w:rStyle w:val="Refdenotaderodap"/>
          <w:rFonts w:cs="Arial"/>
        </w:rPr>
        <w:footnoteReference w:id="28"/>
      </w:r>
      <w:r w:rsidRPr="00C90523">
        <w:rPr>
          <w:rFonts w:cs="Arial"/>
        </w:rPr>
        <w:t xml:space="preserve"> Uma evolução que beneficiou tanto homens como mulheres: no caso dos homens a taxa de alfabetização passou de 88,5% para 91% (um aumento em 2,5 pontos perc</w:t>
      </w:r>
      <w:r w:rsidRPr="00861276">
        <w:rPr>
          <w:rFonts w:cs="Arial"/>
        </w:rPr>
        <w:t xml:space="preserve">entuais) e, das mulheres, de 77% para 83,4% (um aumento em 6,4 pontos percentuais). Apesar da diminuição do fosso de género, este ainda representa cerca de 8 pontos percentuais a desfavor das mulheres, e continua a ser particularmente marcado </w:t>
      </w:r>
      <w:r w:rsidRPr="00C90523">
        <w:rPr>
          <w:rFonts w:cs="Arial"/>
        </w:rPr>
        <w:t xml:space="preserve">para as mulheres rurais, com uma taxa de alfabetização de 77%, ou seja com 10 pontos percentuais de diferença tanto em relação à taxa de alfabetização nacional, como à dos homens rurais (87%). O analfabetismo entre as mulheres continua a ser maior a partir dos 35 anos de idade: existe paridade entre os adultos de 25-34 anos, mas na faixa etária dos 35-64 anos regista-se um fosso superior a 13 pontos percentuais (pouco mais de 1 em cada 10 homens é analfabeto, o que acontece com 1 em cada 4 mulheres), que se agrava ainda entre os adultos de 65 anos ou mais, idade em que 3 em cada 4 mulheres são analfabetas.      </w:t>
      </w:r>
    </w:p>
    <w:p w:rsidR="004F127D" w:rsidRPr="00C90523" w:rsidRDefault="004F127D" w:rsidP="000079EB">
      <w:pPr>
        <w:spacing w:after="0"/>
        <w:jc w:val="both"/>
        <w:rPr>
          <w:rFonts w:cs="Arial"/>
        </w:rPr>
      </w:pPr>
    </w:p>
    <w:tbl>
      <w:tblPr>
        <w:tblW w:w="9070" w:type="dxa"/>
        <w:tblInd w:w="-38" w:type="dxa"/>
        <w:tblCellMar>
          <w:left w:w="70" w:type="dxa"/>
          <w:right w:w="70" w:type="dxa"/>
        </w:tblCellMar>
        <w:tblLook w:val="04A0" w:firstRow="1" w:lastRow="0" w:firstColumn="1" w:lastColumn="0" w:noHBand="0" w:noVBand="1"/>
      </w:tblPr>
      <w:tblGrid>
        <w:gridCol w:w="4520"/>
        <w:gridCol w:w="4670"/>
      </w:tblGrid>
      <w:tr w:rsidR="004F127D" w:rsidRPr="00C90523" w:rsidTr="000079EB">
        <w:tc>
          <w:tcPr>
            <w:tcW w:w="4520" w:type="dxa"/>
            <w:shd w:val="clear" w:color="auto" w:fill="FBD4B4" w:themeFill="accent6" w:themeFillTint="66"/>
          </w:tcPr>
          <w:p w:rsidR="004F127D" w:rsidRPr="00861276" w:rsidRDefault="004F127D" w:rsidP="000079EB">
            <w:pPr>
              <w:jc w:val="center"/>
              <w:rPr>
                <w:rFonts w:cs="Arial"/>
                <w:b/>
              </w:rPr>
            </w:pPr>
            <w:r w:rsidRPr="00C90523">
              <w:rPr>
                <w:b/>
                <w:sz w:val="20"/>
                <w:szCs w:val="20"/>
              </w:rPr>
              <w:t>Gráfico 1.</w:t>
            </w:r>
            <w:r w:rsidR="00F202BB" w:rsidRPr="00C90523">
              <w:rPr>
                <w:b/>
                <w:sz w:val="20"/>
                <w:szCs w:val="20"/>
              </w:rPr>
              <w:fldChar w:fldCharType="begin"/>
            </w:r>
            <w:r w:rsidRPr="00C90523">
              <w:rPr>
                <w:b/>
                <w:sz w:val="20"/>
                <w:szCs w:val="20"/>
              </w:rPr>
              <w:instrText xml:space="preserve"> SEQ Gráfico \* ARABIC </w:instrText>
            </w:r>
            <w:r w:rsidR="00F202BB" w:rsidRPr="00C90523">
              <w:rPr>
                <w:b/>
                <w:sz w:val="20"/>
                <w:szCs w:val="20"/>
              </w:rPr>
              <w:fldChar w:fldCharType="separate"/>
            </w:r>
            <w:r w:rsidR="00420A7A" w:rsidRPr="00C90523">
              <w:rPr>
                <w:b/>
                <w:noProof/>
                <w:sz w:val="20"/>
                <w:szCs w:val="20"/>
              </w:rPr>
              <w:t>4</w:t>
            </w:r>
            <w:r w:rsidR="00F202BB" w:rsidRPr="00C90523">
              <w:rPr>
                <w:b/>
                <w:sz w:val="20"/>
                <w:szCs w:val="20"/>
              </w:rPr>
              <w:fldChar w:fldCharType="end"/>
            </w:r>
            <w:r w:rsidRPr="00C90523">
              <w:rPr>
                <w:b/>
                <w:sz w:val="20"/>
                <w:szCs w:val="20"/>
              </w:rPr>
              <w:t xml:space="preserve"> - Taxa de analfabetismo da população de 15 anos, por sexo e faixa etária</w:t>
            </w:r>
          </w:p>
        </w:tc>
        <w:tc>
          <w:tcPr>
            <w:tcW w:w="4550" w:type="dxa"/>
            <w:shd w:val="clear" w:color="auto" w:fill="F2DBDB" w:themeFill="accent2" w:themeFillTint="33"/>
          </w:tcPr>
          <w:p w:rsidR="004F127D" w:rsidRPr="00C90523" w:rsidRDefault="004F127D" w:rsidP="000079EB">
            <w:pPr>
              <w:pStyle w:val="Legenda"/>
              <w:jc w:val="center"/>
              <w:rPr>
                <w:rFonts w:asciiTheme="minorHAnsi" w:hAnsiTheme="minorHAnsi" w:cs="Arial"/>
                <w:sz w:val="22"/>
                <w:szCs w:val="22"/>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5</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Taxa de analfabetismo da população de 15 anos, por sexo e meio de residência</w:t>
            </w:r>
          </w:p>
        </w:tc>
      </w:tr>
      <w:tr w:rsidR="004F127D" w:rsidRPr="00C90523" w:rsidTr="000079EB">
        <w:tc>
          <w:tcPr>
            <w:tcW w:w="4520" w:type="dxa"/>
          </w:tcPr>
          <w:p w:rsidR="004F127D" w:rsidRPr="00C90523" w:rsidRDefault="004F127D" w:rsidP="000079EB">
            <w:pPr>
              <w:jc w:val="both"/>
              <w:rPr>
                <w:rFonts w:cs="Arial"/>
              </w:rPr>
            </w:pPr>
            <w:r w:rsidRPr="00C90523">
              <w:rPr>
                <w:rFonts w:cs="Arial"/>
                <w:noProof/>
              </w:rPr>
              <w:drawing>
                <wp:inline distT="0" distB="0" distL="0" distR="0">
                  <wp:extent cx="2771120" cy="2038205"/>
                  <wp:effectExtent l="0" t="0" r="10795" b="19685"/>
                  <wp:docPr id="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50" w:type="dxa"/>
          </w:tcPr>
          <w:p w:rsidR="004F127D" w:rsidRPr="00C90523" w:rsidRDefault="004F127D" w:rsidP="000079EB">
            <w:pPr>
              <w:keepNext/>
              <w:jc w:val="both"/>
              <w:rPr>
                <w:rFonts w:cs="Arial"/>
              </w:rPr>
            </w:pPr>
            <w:r w:rsidRPr="00C90523">
              <w:rPr>
                <w:rFonts w:cs="Arial"/>
                <w:noProof/>
              </w:rPr>
              <w:drawing>
                <wp:inline distT="0" distB="0" distL="0" distR="0">
                  <wp:extent cx="2861862" cy="2038205"/>
                  <wp:effectExtent l="0" t="0" r="15240" b="1968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4F127D" w:rsidRPr="00C90523" w:rsidRDefault="004F127D" w:rsidP="004F127D">
      <w:pPr>
        <w:jc w:val="both"/>
        <w:rPr>
          <w:rFonts w:cs="Arial"/>
        </w:rPr>
      </w:pPr>
    </w:p>
    <w:p w:rsidR="004F127D" w:rsidRPr="00C90523" w:rsidRDefault="004F127D" w:rsidP="000079EB">
      <w:pPr>
        <w:spacing w:after="0"/>
        <w:jc w:val="both"/>
        <w:rPr>
          <w:rFonts w:ascii="Calibri" w:hAnsi="Calibri" w:cs="Calibri"/>
          <w:color w:val="000000"/>
        </w:rPr>
      </w:pPr>
      <w:r w:rsidRPr="00C90523">
        <w:rPr>
          <w:rFonts w:cs="Arial"/>
        </w:rPr>
        <w:t>Como resultado das políticas de generalização do ensino básico, a taxa de alfabetização dos jovens de 15-24 anos é praticamente universal: em 2010 era de 97%, com apenas 1 ponto percentual de diferença</w:t>
      </w:r>
      <w:r w:rsidRPr="00C90523">
        <w:t xml:space="preserve"> entre os dois sexos, a favor das jovens; em 2013 passa para 98%, mantendo-se o ponto percentual de diferença nesse mesmo sentido. O</w:t>
      </w:r>
      <w:r w:rsidRPr="00C90523">
        <w:rPr>
          <w:rFonts w:ascii="Calibri" w:hAnsi="Calibri" w:cs="Calibri"/>
          <w:color w:val="000000"/>
        </w:rPr>
        <w:t xml:space="preserve"> número médio de anos de estudo dos jovens é de 9,3 anos em 2013, com as jovens a apresentar em média cerca de mais 1 ano de estudo (9,8) do que os jovens (8,9).</w:t>
      </w:r>
    </w:p>
    <w:p w:rsidR="004F127D" w:rsidRPr="00C90523" w:rsidRDefault="004F127D" w:rsidP="000079EB">
      <w:pPr>
        <w:pStyle w:val="PargrafodaLista"/>
        <w:spacing w:after="0"/>
        <w:ind w:left="360"/>
        <w:jc w:val="both"/>
      </w:pPr>
    </w:p>
    <w:p w:rsidR="004F127D" w:rsidRPr="00C90523" w:rsidRDefault="004F127D" w:rsidP="000079EB">
      <w:pPr>
        <w:shd w:val="clear" w:color="auto" w:fill="FFFFFF"/>
        <w:spacing w:after="0"/>
        <w:rPr>
          <w:rFonts w:eastAsia="Times New Roman"/>
          <w:b/>
          <w:i/>
          <w:iCs/>
          <w:color w:val="000000"/>
        </w:rPr>
      </w:pPr>
      <w:bookmarkStart w:id="43" w:name="_Toc202292428"/>
      <w:r w:rsidRPr="00C90523">
        <w:rPr>
          <w:rFonts w:eastAsia="Times New Roman"/>
          <w:b/>
          <w:i/>
          <w:iCs/>
          <w:color w:val="000000"/>
        </w:rPr>
        <w:t>b) Pré-escolar</w:t>
      </w:r>
    </w:p>
    <w:p w:rsidR="004F127D" w:rsidRPr="00C90523" w:rsidRDefault="004F127D" w:rsidP="000079EB">
      <w:pPr>
        <w:shd w:val="clear" w:color="auto" w:fill="FFFFFF"/>
        <w:spacing w:after="0"/>
        <w:jc w:val="both"/>
        <w:rPr>
          <w:rFonts w:eastAsia="Times New Roman"/>
          <w:color w:val="000000"/>
        </w:rPr>
      </w:pPr>
    </w:p>
    <w:p w:rsidR="004F127D" w:rsidRPr="00C90523" w:rsidRDefault="004F127D" w:rsidP="000079EB">
      <w:pPr>
        <w:shd w:val="clear" w:color="auto" w:fill="FFFFFF"/>
        <w:spacing w:after="0"/>
        <w:jc w:val="both"/>
        <w:rPr>
          <w:rFonts w:eastAsia="Times New Roman"/>
          <w:color w:val="000000"/>
        </w:rPr>
      </w:pPr>
      <w:r w:rsidRPr="00C90523">
        <w:rPr>
          <w:rFonts w:eastAsia="Times New Roman"/>
          <w:color w:val="000000"/>
        </w:rPr>
        <w:t>O pré-escolar reveste-se de particular importância, tanto do ponto de vista educacional, como pelo seu significado no sistema de cuidados de crianças pequenas. Este subsistema da educação disponibilizou, em 2012/2013, vagas para 20.081 meninas e meninos dos 3 aos 5 anos (idade do nível de ensino do pré-escolar), de forma paritária. Registou-se ainda a disponibilização de serviços para 1.971 crianças dos 0 aos 2 anos. A frequência do pré-escolar aumenta à medida que as crianças se aproximam da idade de entrar para a escola: do total de vagas disponibilizadas nesse ano escolar, cerca de 3/4 foram para crianças de 4 e 5 anos (74,6%) e 1/4 para as de 3 anos ou menos (25,4%).</w:t>
      </w:r>
    </w:p>
    <w:p w:rsidR="004F127D" w:rsidRPr="00C90523" w:rsidRDefault="004F127D" w:rsidP="004F127D">
      <w:pPr>
        <w:pStyle w:val="Legenda"/>
        <w:jc w:val="center"/>
        <w:rPr>
          <w:rFonts w:asciiTheme="minorHAnsi" w:hAnsiTheme="minorHAnsi"/>
          <w:color w:val="auto"/>
        </w:rPr>
      </w:pPr>
    </w:p>
    <w:p w:rsidR="004F127D" w:rsidRPr="00C90523" w:rsidRDefault="004F127D" w:rsidP="004F127D">
      <w:pPr>
        <w:pStyle w:val="Legenda"/>
        <w:spacing w:after="0"/>
        <w:jc w:val="center"/>
        <w:rPr>
          <w:rFonts w:asciiTheme="minorHAnsi" w:hAnsiTheme="minorHAnsi"/>
          <w:color w:val="auto"/>
          <w:sz w:val="20"/>
          <w:szCs w:val="20"/>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6</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Proporção de crianças matriculadas num </w:t>
      </w:r>
    </w:p>
    <w:p w:rsidR="004F127D" w:rsidRPr="00C90523" w:rsidRDefault="004F127D" w:rsidP="004F127D">
      <w:pPr>
        <w:pStyle w:val="Legenda"/>
        <w:spacing w:after="0"/>
        <w:jc w:val="center"/>
        <w:rPr>
          <w:rFonts w:asciiTheme="minorHAnsi" w:eastAsia="Times New Roman" w:hAnsiTheme="minorHAnsi"/>
          <w:color w:val="auto"/>
          <w:sz w:val="20"/>
          <w:szCs w:val="20"/>
        </w:rPr>
      </w:pPr>
      <w:r w:rsidRPr="00C90523">
        <w:rPr>
          <w:rFonts w:asciiTheme="minorHAnsi" w:hAnsiTheme="minorHAnsi"/>
          <w:color w:val="auto"/>
          <w:sz w:val="20"/>
          <w:szCs w:val="20"/>
        </w:rPr>
        <w:t>estabelecimento pré-escolar (2012/2013) por idade</w:t>
      </w:r>
    </w:p>
    <w:p w:rsidR="004F127D" w:rsidRPr="00C90523" w:rsidRDefault="004F127D" w:rsidP="004F127D">
      <w:pPr>
        <w:pStyle w:val="PargrafodaLista"/>
        <w:shd w:val="clear" w:color="auto" w:fill="FFFFFF"/>
        <w:ind w:left="360"/>
        <w:jc w:val="center"/>
        <w:rPr>
          <w:rFonts w:eastAsia="Times New Roman"/>
          <w:b/>
          <w:color w:val="000000"/>
        </w:rPr>
      </w:pPr>
      <w:r w:rsidRPr="00F207D0">
        <w:rPr>
          <w:noProof/>
        </w:rPr>
        <w:drawing>
          <wp:inline distT="0" distB="0" distL="0" distR="0">
            <wp:extent cx="3880354" cy="1570007"/>
            <wp:effectExtent l="19050" t="0" r="24896"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F127D" w:rsidRPr="00C90523" w:rsidRDefault="004F127D" w:rsidP="004F127D">
      <w:pPr>
        <w:pStyle w:val="PargrafodaLista"/>
        <w:ind w:left="360"/>
        <w:jc w:val="center"/>
        <w:rPr>
          <w:b/>
          <w:sz w:val="20"/>
          <w:szCs w:val="20"/>
        </w:rPr>
      </w:pPr>
      <w:r w:rsidRPr="00C90523">
        <w:rPr>
          <w:b/>
          <w:sz w:val="20"/>
          <w:szCs w:val="20"/>
        </w:rPr>
        <w:t xml:space="preserve">FONTE: </w:t>
      </w:r>
      <w:r w:rsidRPr="00C90523">
        <w:rPr>
          <w:sz w:val="20"/>
          <w:szCs w:val="20"/>
        </w:rPr>
        <w:t>Dados administrativos do MED &amp; Projecções Demográficas do INE</w:t>
      </w:r>
    </w:p>
    <w:p w:rsidR="004F127D" w:rsidRPr="00C90523" w:rsidRDefault="004F127D" w:rsidP="000079EB">
      <w:pPr>
        <w:pStyle w:val="PargrafodaLista"/>
        <w:shd w:val="clear" w:color="auto" w:fill="FFFFFF"/>
        <w:spacing w:after="0"/>
        <w:ind w:left="360"/>
        <w:rPr>
          <w:rFonts w:eastAsia="Times New Roman"/>
          <w:b/>
          <w:color w:val="000000"/>
        </w:rPr>
      </w:pPr>
    </w:p>
    <w:p w:rsidR="004F127D" w:rsidRPr="00C90523" w:rsidRDefault="004F127D" w:rsidP="000079EB">
      <w:pPr>
        <w:shd w:val="clear" w:color="auto" w:fill="FFFFFF"/>
        <w:spacing w:after="0"/>
        <w:jc w:val="both"/>
        <w:rPr>
          <w:rFonts w:eastAsia="Times New Roman"/>
          <w:color w:val="000000"/>
        </w:rPr>
      </w:pPr>
      <w:r w:rsidRPr="00C90523">
        <w:rPr>
          <w:rFonts w:eastAsia="Times New Roman"/>
          <w:color w:val="000000"/>
        </w:rPr>
        <w:t>No caso das crianças dos 3 aos 5 anos estas vagas correspondem a cerca de 64,6% das crianças que existem na população nessa faixa etária. No caso dos 0 aos 2 anos, corresponde a 6,5% das crianças dessa faixa etária. No pré-escolar predominam as instituições privadas, com o sector público a assegurar 43% das vagas. Os serviços para crianças dos 0 aos 2 anos são prestados, em mais de 85% dos casos, por instituições de cariz privado.</w:t>
      </w:r>
    </w:p>
    <w:p w:rsidR="004F127D" w:rsidRPr="00C90523" w:rsidRDefault="004F127D" w:rsidP="004F127D">
      <w:pPr>
        <w:pStyle w:val="Cabealho"/>
        <w:spacing w:line="276" w:lineRule="auto"/>
        <w:jc w:val="both"/>
      </w:pPr>
    </w:p>
    <w:p w:rsidR="004F127D" w:rsidRPr="00C90523" w:rsidRDefault="004F127D" w:rsidP="000079EB">
      <w:pPr>
        <w:spacing w:after="0"/>
        <w:jc w:val="both"/>
        <w:rPr>
          <w:rFonts w:cs="Arial"/>
          <w:b/>
          <w:i/>
          <w:iCs/>
        </w:rPr>
      </w:pPr>
      <w:r w:rsidRPr="00C90523">
        <w:rPr>
          <w:rFonts w:cs="Arial"/>
          <w:b/>
          <w:i/>
          <w:iCs/>
        </w:rPr>
        <w:t>c) Acesso e sucesso no ensino básico e secundário</w:t>
      </w:r>
      <w:bookmarkEnd w:id="43"/>
    </w:p>
    <w:p w:rsidR="004F127D" w:rsidRPr="00861276" w:rsidRDefault="004F127D" w:rsidP="000079EB">
      <w:pPr>
        <w:spacing w:after="0"/>
        <w:jc w:val="both"/>
        <w:rPr>
          <w:rFonts w:cs="Arial"/>
        </w:rPr>
      </w:pPr>
    </w:p>
    <w:p w:rsidR="004F127D" w:rsidRPr="00C90523" w:rsidRDefault="004F127D" w:rsidP="000079EB">
      <w:pPr>
        <w:spacing w:after="0"/>
        <w:jc w:val="both"/>
        <w:rPr>
          <w:rFonts w:cs="Arial"/>
        </w:rPr>
      </w:pPr>
      <w:r w:rsidRPr="00C90523">
        <w:rPr>
          <w:rFonts w:cs="Arial"/>
        </w:rPr>
        <w:t>Os dados administrativos do Ministério da Educação mostram que a taxa líquida de escolarização das crianças dos 6-11 anos tem sofrido flutuações, com valores mais baixos dos atingidos em anos anteriores: no ano lectivo 2012/2013 esta taxa foi de 93,3%, sendo de 91,8% entre as raparigas e de 94,7% entre os rapazes.</w:t>
      </w:r>
      <w:r w:rsidRPr="00C90523">
        <w:rPr>
          <w:rStyle w:val="Refdenotaderodap"/>
          <w:rFonts w:cs="Arial"/>
        </w:rPr>
        <w:footnoteReference w:id="29"/>
      </w:r>
      <w:r w:rsidRPr="00C90523">
        <w:rPr>
          <w:rFonts w:cs="Arial"/>
        </w:rPr>
        <w:t xml:space="preserve"> O índice de paridade na educação, calculado com base na taxa bruta de escolarização, tem evoluído no sentido de uma menor paridade: se em 2000 se situava em 0,96, em 2012 desceu para 0,92. </w:t>
      </w:r>
    </w:p>
    <w:p w:rsidR="004F127D" w:rsidRPr="00861276" w:rsidRDefault="004F127D" w:rsidP="000079EB">
      <w:pPr>
        <w:pStyle w:val="PargrafodaLista"/>
        <w:spacing w:after="0"/>
        <w:ind w:left="360"/>
        <w:jc w:val="both"/>
        <w:rPr>
          <w:rFonts w:cs="Arial"/>
          <w:color w:val="0070C0"/>
        </w:rPr>
      </w:pPr>
    </w:p>
    <w:p w:rsidR="004F127D" w:rsidRPr="00C90523" w:rsidRDefault="004F127D" w:rsidP="000079EB">
      <w:pPr>
        <w:spacing w:after="0"/>
        <w:jc w:val="both"/>
        <w:rPr>
          <w:rFonts w:cs="Arial"/>
        </w:rPr>
      </w:pPr>
      <w:r w:rsidRPr="00C90523">
        <w:rPr>
          <w:rFonts w:cs="Arial"/>
        </w:rPr>
        <w:t>A menor paridade de género no ensino primário pode estar vinculada a vários factores, entre os quais o maior sucesso das raparigas que se encontram no sistema educativo, um abandono mais elevado entre os rapazes, e um número crescente de crianças fora do sistema. De acordo com o recém-elaborado relatório do ODM 2, em termos de acesso «</w:t>
      </w:r>
      <w:r w:rsidRPr="00C90523">
        <w:rPr>
          <w:rFonts w:cs="Arial"/>
          <w:i/>
        </w:rPr>
        <w:t>a taxa líquida de admissão no ensino básico situa-se em 92,9%, o que significa que 7,1% de crianças em idade teórica de entrada no ensino básico, no ano lectivo em referência (2012/2013), ficaram fora do sistema de ensino. Esta taxa é de 91,6% para as raparigas e de 94,2% para os rapazes, o que significa que de entre as crianças que ficaram fora do sistema escolar, 8,4% são raparigas e 5,8% são rapazes»</w:t>
      </w:r>
      <w:r w:rsidRPr="00C90523">
        <w:rPr>
          <w:rFonts w:cs="Arial"/>
        </w:rPr>
        <w:t>.</w:t>
      </w:r>
      <w:r w:rsidRPr="00C90523">
        <w:rPr>
          <w:rStyle w:val="Refdenotaderodap"/>
          <w:rFonts w:cs="Arial"/>
        </w:rPr>
        <w:footnoteReference w:id="30"/>
      </w:r>
      <w:r w:rsidRPr="00C90523">
        <w:rPr>
          <w:rFonts w:cs="Arial"/>
        </w:rPr>
        <w:t xml:space="preserve"> A entrada tardia das crianças na escola (depois dos 6 anos de idade) é um dos factores que justifica esta diferença: </w:t>
      </w:r>
      <w:r w:rsidRPr="00861276">
        <w:rPr>
          <w:rFonts w:cs="Arial"/>
        </w:rPr>
        <w:t xml:space="preserve">a proporção de crianças com 7 e 8 anos que não se encontram matriculadas é menor do que aos 6 anos (respectivamente 5,1% e 3,7%, versus 6,5% para as crianças de 6 anos). Contudo este efeito é marcado sobretudo para os rapazes (cerca de 2,5% e </w:t>
      </w:r>
      <w:r w:rsidRPr="00C90523">
        <w:rPr>
          <w:rFonts w:cs="Arial"/>
        </w:rPr>
        <w:t>2,1% aos 7 e 8 anos, versus 5,5% para os rapazes de 6 anos), enquanto a proporção de raparigas não matriculadas se mantem elevada aos 6, 7 e 8 anos (7,6%, 7,5% e 5,2% respectivamente). A proporção de crianças que não se encontra matriculada volta a aumentar a partir dos 9 anos, no caso dos rapazes, e dos 10 anos, no caso das raparigas e as proporções continuam a ser mais elevadas entre as raparigas. Estes dados potencialmente incluem tanto as crianças que nunca foram à escola, como as que já frequentaram o ensino básico, mas não o frequentam mais.</w:t>
      </w:r>
    </w:p>
    <w:p w:rsidR="004F127D" w:rsidRPr="00C90523" w:rsidRDefault="004F127D" w:rsidP="000079EB">
      <w:pPr>
        <w:spacing w:after="0"/>
      </w:pPr>
    </w:p>
    <w:p w:rsidR="004F127D" w:rsidRPr="00C90523" w:rsidRDefault="004F127D" w:rsidP="004F127D">
      <w:pPr>
        <w:pStyle w:val="Legenda"/>
        <w:spacing w:after="0"/>
        <w:jc w:val="center"/>
        <w:rPr>
          <w:rFonts w:asciiTheme="minorHAnsi" w:hAnsiTheme="minorHAnsi"/>
          <w:color w:val="auto"/>
          <w:sz w:val="20"/>
          <w:szCs w:val="20"/>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7</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Proporção de crianças (6-11 anos) que não </w:t>
      </w:r>
    </w:p>
    <w:p w:rsidR="004F127D" w:rsidRPr="00C90523" w:rsidRDefault="004F127D" w:rsidP="004F127D">
      <w:pPr>
        <w:pStyle w:val="Legenda"/>
        <w:spacing w:after="0"/>
        <w:jc w:val="center"/>
        <w:rPr>
          <w:rFonts w:asciiTheme="minorHAnsi" w:hAnsiTheme="minorHAnsi"/>
          <w:color w:val="auto"/>
          <w:sz w:val="20"/>
          <w:szCs w:val="20"/>
        </w:rPr>
      </w:pPr>
      <w:r w:rsidRPr="00C90523">
        <w:rPr>
          <w:rFonts w:asciiTheme="minorHAnsi" w:hAnsiTheme="minorHAnsi"/>
          <w:color w:val="auto"/>
          <w:sz w:val="20"/>
          <w:szCs w:val="20"/>
        </w:rPr>
        <w:t>se encontram matriculadas em 2012, por idade simples e sexo</w:t>
      </w:r>
    </w:p>
    <w:p w:rsidR="004F127D" w:rsidRPr="00C90523" w:rsidRDefault="004F127D" w:rsidP="004F127D">
      <w:pPr>
        <w:pStyle w:val="PargrafodaLista"/>
        <w:ind w:left="360"/>
        <w:jc w:val="center"/>
        <w:rPr>
          <w:rFonts w:cs="Arial"/>
        </w:rPr>
      </w:pPr>
      <w:r w:rsidRPr="00F207D0">
        <w:rPr>
          <w:noProof/>
        </w:rPr>
        <w:drawing>
          <wp:inline distT="0" distB="0" distL="0" distR="0">
            <wp:extent cx="3960421" cy="1650670"/>
            <wp:effectExtent l="0" t="0" r="21590" b="26035"/>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127D" w:rsidRPr="00C90523" w:rsidRDefault="004F127D" w:rsidP="004F127D">
      <w:pPr>
        <w:pStyle w:val="PargrafodaLista"/>
        <w:ind w:left="360"/>
        <w:jc w:val="center"/>
        <w:rPr>
          <w:sz w:val="20"/>
          <w:szCs w:val="20"/>
        </w:rPr>
      </w:pPr>
      <w:r w:rsidRPr="00C90523">
        <w:rPr>
          <w:b/>
          <w:sz w:val="20"/>
          <w:szCs w:val="20"/>
        </w:rPr>
        <w:t xml:space="preserve">FONTE: </w:t>
      </w:r>
      <w:r w:rsidRPr="00C90523">
        <w:rPr>
          <w:sz w:val="20"/>
          <w:szCs w:val="20"/>
        </w:rPr>
        <w:t>Dados administrativos do MED &amp; Projecções Demográficas do INE</w:t>
      </w:r>
    </w:p>
    <w:p w:rsidR="004F127D" w:rsidRPr="00C90523" w:rsidRDefault="004F127D" w:rsidP="000079EB">
      <w:pPr>
        <w:pStyle w:val="PargrafodaLista"/>
        <w:spacing w:after="0"/>
        <w:ind w:left="360"/>
        <w:jc w:val="both"/>
        <w:rPr>
          <w:rFonts w:cs="Arial"/>
        </w:rPr>
      </w:pPr>
    </w:p>
    <w:p w:rsidR="004F127D" w:rsidRPr="00C90523" w:rsidRDefault="004F127D" w:rsidP="000079EB">
      <w:pPr>
        <w:spacing w:after="0"/>
        <w:jc w:val="both"/>
        <w:rPr>
          <w:rFonts w:cs="Arial"/>
        </w:rPr>
      </w:pPr>
      <w:r w:rsidRPr="00C90523">
        <w:rPr>
          <w:rFonts w:cs="Arial"/>
        </w:rPr>
        <w:t xml:space="preserve">As informações disponíveis não permitem uma análise caracterização detalhada das crianças fora da escola, em termos da sua dimensão, perfil e/ou dinâmicas subjacentes às diferenças observadas entre raparigas e rapazes. Está prevista a realização, em 2014, de um estudo sobre as crianças fora da escola e será importante que integre uma abordagem de género, permitindo analisar os motivos específicos que afectam rapazes e raparigas, e desenhar estratégias/intervenções adequadas às situações de cada um/uma. </w:t>
      </w:r>
    </w:p>
    <w:p w:rsidR="004F127D" w:rsidRPr="00C90523" w:rsidRDefault="004F127D" w:rsidP="000079EB">
      <w:pPr>
        <w:pStyle w:val="PargrafodaLista"/>
        <w:spacing w:after="0"/>
        <w:ind w:left="360"/>
        <w:jc w:val="both"/>
        <w:rPr>
          <w:rFonts w:cs="Arial"/>
        </w:rPr>
      </w:pPr>
    </w:p>
    <w:p w:rsidR="004F127D" w:rsidRPr="00C90523" w:rsidRDefault="004F127D" w:rsidP="000079EB">
      <w:pPr>
        <w:spacing w:after="0"/>
        <w:jc w:val="both"/>
        <w:rPr>
          <w:rFonts w:cs="Arial"/>
          <w:b/>
          <w:highlight w:val="yellow"/>
        </w:rPr>
      </w:pPr>
      <w:r w:rsidRPr="00C90523">
        <w:rPr>
          <w:rFonts w:cs="Arial"/>
        </w:rPr>
        <w:t>Analisando o percurso das crianças que têm acesso ao ensino básico, verifica-se que globalmente que as raparigas demonstram maior sucesso do que os rapazes: em 2012 a taxa de repetência em 2012 foi de cerca de 12%, sendo de 9,5% entre os rapazes e de 7% entre as raparigas. Entre outros factores, esta situação tem contribuído para a descida do índice de paridade na educação, na medida em que os rapazes permanecem por mais tempo no ensino básico: com efeito, nesse mesmo ano lectivo, 6 em cada 10 crianças com mais de 11 anos que ainda permanecem no ensino básico são do sexo masculino. Quanto à taxa de abandono, foi de cerca de 2% em 2012/2013, sendo de 5,4% entre os rapazes e de 1,8% entre as raparigas. O maior sucesso das raparigas reflete-se na percentagem de diplomados e diplomadas do ensino básico, que em 2012 foi de 92% entre as raparigas, contra cerca de 87% entre os rapazes.</w:t>
      </w:r>
    </w:p>
    <w:p w:rsidR="004F127D" w:rsidRPr="00C90523" w:rsidRDefault="004F127D" w:rsidP="000079EB">
      <w:pPr>
        <w:spacing w:after="0"/>
        <w:jc w:val="both"/>
      </w:pPr>
      <w:r w:rsidRPr="00C90523">
        <w:rPr>
          <w:rFonts w:cs="Arial"/>
        </w:rPr>
        <w:t>De referir que uma das causas específica de abandono da escola por parte das raparigas é a gravidez. Em finais de 2013 foi revogada pelo ECA</w:t>
      </w:r>
      <w:r w:rsidRPr="00C90523">
        <w:rPr>
          <w:rStyle w:val="Refdenotaderodap"/>
        </w:rPr>
        <w:footnoteReference w:id="31"/>
      </w:r>
      <w:r w:rsidRPr="00C90523">
        <w:t xml:space="preserve"> </w:t>
      </w:r>
      <w:r w:rsidRPr="00C90523">
        <w:rPr>
          <w:rFonts w:cs="Arial"/>
        </w:rPr>
        <w:t>um</w:t>
      </w:r>
      <w:r w:rsidRPr="00861276">
        <w:rPr>
          <w:rFonts w:cs="Arial"/>
        </w:rPr>
        <w:t xml:space="preserve">a medida emitida pelo Ministério da Educação em 2001, que recomendava que as estudantes grávidas interrompessem os seus estudos, para os reassumir após o parto. Persiste a </w:t>
      </w:r>
      <w:r w:rsidRPr="00C90523">
        <w:t xml:space="preserve">necessidade de assegurar o seguimento da situação, incluindo em termos de produção sistemática de dados nas escolas. </w:t>
      </w:r>
    </w:p>
    <w:p w:rsidR="004F127D" w:rsidRPr="00C90523" w:rsidRDefault="004F127D" w:rsidP="000079EB">
      <w:pPr>
        <w:spacing w:after="0"/>
        <w:jc w:val="both"/>
      </w:pPr>
    </w:p>
    <w:p w:rsidR="004F127D" w:rsidRPr="00C90523" w:rsidRDefault="004F127D" w:rsidP="000079EB">
      <w:pPr>
        <w:spacing w:after="0"/>
        <w:jc w:val="both"/>
        <w:rPr>
          <w:rFonts w:cs="Arial"/>
        </w:rPr>
      </w:pPr>
      <w:r w:rsidRPr="00C90523">
        <w:rPr>
          <w:rFonts w:cs="Arial"/>
        </w:rPr>
        <w:t xml:space="preserve">Em relação ao ensino secundário, a taxa líquida de escolarização continua a aumentar: entre os anos lectivos de 2006/2007 e de 2012/2013 aumentou em cerca de 10 pontos percentuais entre as raparigas (de 63,8% para 74,2%) e em cerca de 9 pontos percentuais entre os rapazes (de 55,9% para 64,8%). O índice de repetência no ensino secundário nesse mesmo ano lectivo foi globalmente de 19,6%, com uma diferença de cerca de 6 pontos percentuais entre rapazes e raparigas (cerca de 23% e 17%, respectivamente). </w:t>
      </w:r>
      <w:bookmarkStart w:id="44" w:name="_Toc202292429"/>
      <w:r w:rsidRPr="00C90523">
        <w:rPr>
          <w:rFonts w:cs="Arial"/>
        </w:rPr>
        <w:t>A diferença entre diplomados e diplomadas no ensino secundário chega a 13% (cerca de 65% para as raparigas e 52% para os rapazes). De referir que a via técnica passou a representar quase 3% do ensino secundário, em 2011, sendo a proporção de raparigas nesta via cerca 48%, quando era de 44% em 2009.</w:t>
      </w:r>
    </w:p>
    <w:p w:rsidR="004F127D" w:rsidRPr="00C90523" w:rsidRDefault="004F127D" w:rsidP="004F127D">
      <w:pPr>
        <w:pStyle w:val="Cabealho4"/>
        <w:spacing w:before="0"/>
        <w:rPr>
          <w:rFonts w:asciiTheme="minorHAnsi" w:hAnsiTheme="minorHAnsi" w:cs="Arial"/>
          <w:color w:val="0070C0"/>
        </w:rPr>
      </w:pPr>
      <w:bookmarkStart w:id="45" w:name="_Toc202292430"/>
      <w:bookmarkEnd w:id="44"/>
    </w:p>
    <w:p w:rsidR="004F127D" w:rsidRPr="00C90523" w:rsidRDefault="004F127D" w:rsidP="000079EB">
      <w:pPr>
        <w:spacing w:after="0"/>
        <w:jc w:val="both"/>
      </w:pPr>
      <w:r w:rsidRPr="00C90523">
        <w:t>Os dados de Cabo Verde apontam, como é o caso em muitos países, para especificidades relativamente à forma como rapazes e raparigas progridem no sistema educativo e para as diferentes facetas da manutenção do acesso paritário de rapazes e raparigas à educação.</w:t>
      </w:r>
      <w:r w:rsidRPr="00C90523">
        <w:rPr>
          <w:rStyle w:val="Refdenotaderodap"/>
        </w:rPr>
        <w:footnoteReference w:id="32"/>
      </w:r>
      <w:r w:rsidRPr="00C90523">
        <w:t xml:space="preserve"> A avaliação do PNIEG (2011) destacou a importância do sector educação por ser o “</w:t>
      </w:r>
      <w:r w:rsidRPr="00861276">
        <w:rPr>
          <w:i/>
        </w:rPr>
        <w:t>veículo mais poderoso de transformação social e mudança de mentalidades</w:t>
      </w:r>
      <w:r w:rsidRPr="00C90523">
        <w:t xml:space="preserve">”, em particular num contexto como o de Cabo Verde, de acesso universal. Recomendou que fosse explorado esse potencial, vendo para além da paridade de género na escola. Com efeito as questões de género para o sector educação incluem questões de currículo, materiais e capacidades, que possam contribuir para uma educação para a igualdade e respeito mútuo, bem como questões de segurança, de assédio, sem esquecer as questões de escolha vocacional. A questão dos benefícios que a educação pode trazer a mulheres e a homens coloca-se igualmente, já que o aumento dos níveis de escolaridade entre as mulheres, incluindo em termos e formação superior, está ainda por se traduzir na sua representação proporcional no mercado de trabalho. </w:t>
      </w:r>
      <w:r w:rsidRPr="00C90523">
        <w:rPr>
          <w:rFonts w:eastAsia="Times New Roman"/>
        </w:rPr>
        <w:t>A proporção de mulheres no desemprego com níveis mais elevados de escolaridade, é maior do que a dos homens: cerca de mais 6% entre as mulheres com formação pós- secundária, ilustrando que a melhoria no nível de educação das mulheres pode só por si não resultar em maior acesso ao mercado de trabalho.</w:t>
      </w:r>
      <w:r w:rsidRPr="00C90523">
        <w:t xml:space="preserve"> O acesso ao emprego continua a ser diferente entre mulheres e homens, em particular entre os jovens adultos.</w:t>
      </w:r>
    </w:p>
    <w:p w:rsidR="004F127D" w:rsidRPr="00C90523" w:rsidRDefault="004F127D" w:rsidP="000079EB">
      <w:pPr>
        <w:spacing w:after="0"/>
        <w:jc w:val="both"/>
      </w:pPr>
    </w:p>
    <w:p w:rsidR="000079EB" w:rsidRPr="00C90523" w:rsidRDefault="000079EB" w:rsidP="000079EB">
      <w:pPr>
        <w:spacing w:after="0"/>
        <w:rPr>
          <w:b/>
          <w:i/>
          <w:iCs/>
        </w:rPr>
      </w:pPr>
      <w:bookmarkStart w:id="46" w:name="_Toc202292431"/>
      <w:bookmarkEnd w:id="45"/>
    </w:p>
    <w:p w:rsidR="00C77BE6" w:rsidRDefault="00C77BE6">
      <w:pPr>
        <w:rPr>
          <w:b/>
          <w:i/>
          <w:iCs/>
        </w:rPr>
      </w:pPr>
      <w:r>
        <w:rPr>
          <w:b/>
          <w:i/>
          <w:iCs/>
        </w:rPr>
        <w:br w:type="page"/>
      </w:r>
    </w:p>
    <w:p w:rsidR="004F127D" w:rsidRPr="00C90523" w:rsidRDefault="004F127D" w:rsidP="000079EB">
      <w:pPr>
        <w:spacing w:after="0"/>
        <w:rPr>
          <w:rFonts w:eastAsia="Times New Roman"/>
          <w:b/>
          <w:i/>
          <w:iCs/>
        </w:rPr>
      </w:pPr>
      <w:r w:rsidRPr="00C90523">
        <w:rPr>
          <w:b/>
          <w:i/>
          <w:iCs/>
        </w:rPr>
        <w:t xml:space="preserve">d) Ensino superior e formação profissional </w:t>
      </w:r>
      <w:bookmarkEnd w:id="46"/>
    </w:p>
    <w:p w:rsidR="004F127D" w:rsidRPr="00C90523" w:rsidRDefault="004F127D" w:rsidP="000079EB">
      <w:pPr>
        <w:autoSpaceDE w:val="0"/>
        <w:autoSpaceDN w:val="0"/>
        <w:adjustRightInd w:val="0"/>
        <w:spacing w:after="0"/>
        <w:jc w:val="both"/>
      </w:pPr>
    </w:p>
    <w:p w:rsidR="004F127D" w:rsidRPr="00C90523" w:rsidRDefault="004F127D" w:rsidP="000079EB">
      <w:pPr>
        <w:autoSpaceDE w:val="0"/>
        <w:autoSpaceDN w:val="0"/>
        <w:adjustRightInd w:val="0"/>
        <w:spacing w:after="0"/>
        <w:jc w:val="both"/>
      </w:pPr>
      <w:r w:rsidRPr="00C90523">
        <w:t>No ensino superior, vem aumentando a taxa bruta de escolarização: em 2011 era de 21%, sendo 24,5% entre as mulheres e 11% entre os homens. Esta situação reflecte a tendência que se desenha desde o ensino básico e</w:t>
      </w:r>
      <w:r w:rsidRPr="00C90523">
        <w:rPr>
          <w:sz w:val="20"/>
          <w:szCs w:val="20"/>
        </w:rPr>
        <w:t xml:space="preserve"> </w:t>
      </w:r>
      <w:r w:rsidRPr="00C90523">
        <w:t xml:space="preserve">secundário, e a proporção mais elevada de raparigas que completa o secundário, sendo esta uma condição de acesso ao ensino superior. Em termos de bolsas de estudo, as mulheres representam 54% das beneficiárias das 342 bolsas nacionais atribuídas no ano lectivo 2011/2012 e 65% das bolsas 161 atribuídas para estudos no exterior. </w:t>
      </w:r>
    </w:p>
    <w:p w:rsidR="004F127D" w:rsidRPr="00C90523" w:rsidRDefault="004F127D" w:rsidP="000079EB">
      <w:pPr>
        <w:autoSpaceDE w:val="0"/>
        <w:autoSpaceDN w:val="0"/>
        <w:adjustRightInd w:val="0"/>
        <w:spacing w:after="0"/>
        <w:jc w:val="both"/>
      </w:pPr>
    </w:p>
    <w:p w:rsidR="004F127D" w:rsidRPr="00C90523" w:rsidRDefault="004F127D" w:rsidP="000079EB">
      <w:pPr>
        <w:autoSpaceDE w:val="0"/>
        <w:autoSpaceDN w:val="0"/>
        <w:adjustRightInd w:val="0"/>
        <w:spacing w:after="0"/>
        <w:jc w:val="both"/>
      </w:pPr>
      <w:r w:rsidRPr="00C90523">
        <w:t xml:space="preserve">Por outro lado, num contexto de algum crescimento da oferta formativa do ensino profissional, aumentou a proporção de mulheres que beneficiam do ensino profissional (47% e 43% em 2009 e 2010; 49% em 2011 e 51% em 2012 e 2013). </w:t>
      </w:r>
    </w:p>
    <w:p w:rsidR="004F127D" w:rsidRPr="00C90523" w:rsidRDefault="004F127D" w:rsidP="000079EB">
      <w:pPr>
        <w:autoSpaceDE w:val="0"/>
        <w:autoSpaceDN w:val="0"/>
        <w:adjustRightInd w:val="0"/>
        <w:spacing w:after="0"/>
        <w:jc w:val="both"/>
      </w:pPr>
    </w:p>
    <w:p w:rsidR="004F127D" w:rsidRPr="00C90523" w:rsidRDefault="004F127D" w:rsidP="000079EB">
      <w:pPr>
        <w:autoSpaceDE w:val="0"/>
        <w:autoSpaceDN w:val="0"/>
        <w:adjustRightInd w:val="0"/>
        <w:spacing w:after="0"/>
        <w:jc w:val="both"/>
      </w:pPr>
      <w:r w:rsidRPr="00C90523">
        <w:t>Em termos de escolha de área de estudo/profissional, os dados apontam para persistência de estereótipos: nas áreas das ciências exactas os homens estão melhor representados (73% das engenharias e tecnologias), enquanto há mais mulheres nas demais ciências (cerca de 60% para as ciências sociais, humanas, letras e línguas, e 67% para as ciências económicas, jurídicas e políticas). A área científica na qual as mulheres estão mais representadas é a das ciências da vida, ambiente e saúde (72%). Nos Cursos de Estudos Superiores Profissionalizantes (CESP), em 2012, 35% das mulheres estão inscritas em cursos técnico-científicos, enquanto 73% escolhem outras áreas (turismo, negócios, secretariado).</w:t>
      </w:r>
    </w:p>
    <w:p w:rsidR="004F127D" w:rsidRPr="00C90523" w:rsidRDefault="004F127D" w:rsidP="000079EB">
      <w:pPr>
        <w:shd w:val="clear" w:color="auto" w:fill="FFFFFF"/>
        <w:spacing w:after="0"/>
        <w:rPr>
          <w:rFonts w:eastAsia="Times New Roman"/>
          <w:b/>
          <w:color w:val="000000"/>
        </w:rPr>
      </w:pPr>
    </w:p>
    <w:p w:rsidR="004F127D" w:rsidRPr="00C90523" w:rsidRDefault="006568A3" w:rsidP="000079EB">
      <w:pPr>
        <w:spacing w:after="0"/>
        <w:rPr>
          <w:b/>
          <w:i/>
        </w:rPr>
      </w:pPr>
      <w:r w:rsidRPr="006568A3">
        <w:rPr>
          <w:b/>
          <w:i/>
        </w:rPr>
        <w:t>e) O corpo docente, as chefias e os manuais escolares</w:t>
      </w:r>
    </w:p>
    <w:p w:rsidR="004F127D" w:rsidRPr="00C90523" w:rsidRDefault="004F127D" w:rsidP="000079EB">
      <w:pPr>
        <w:spacing w:after="0"/>
        <w:jc w:val="both"/>
      </w:pPr>
    </w:p>
    <w:p w:rsidR="004F127D" w:rsidRPr="00C90523" w:rsidRDefault="004F127D" w:rsidP="000079EB">
      <w:pPr>
        <w:spacing w:after="0"/>
        <w:jc w:val="both"/>
      </w:pPr>
      <w:r w:rsidRPr="00861276">
        <w:t>O corpo docente em Cabo Verde varia consideravelmente de acordo com o nível do sistema educativo: no pré-esc</w:t>
      </w:r>
      <w:r w:rsidRPr="00C90523">
        <w:t xml:space="preserve">olar ele é praticamente exclusivamente feminino e, no caso do ensino básico, continua a tendência para a sua feminização, com as professoras a representar cerca de 68% dos docentes em 2012, quando em 2003 eram 65%. No ensino secundário a proporção de mulheres foi de cerca de 46% em 2012. No caso do ensino secundário privado, essencialmente leccionado em horário pós-laboral, esta proporção desce para 29,6%. No ensino superior a proporção de mulheres docentes foi, em 2011, de 37%, o que representa uma diminuição em relação à proporção registada em 2007, de 43%. Analisando as habilitações literárias do corpo docente do ensino superior constata-se que quanto mais elevada a habilitação literária, menor a proporção de mulheres: representam cerca de 4 em cada 10 docentes licenciados (42%), mas apenas 2 em cada 10 docentes doutorados (23%). Contudo em 2014, pela primeira vez, a Universidade pública (UniCV) tem uma Reitora. </w:t>
      </w:r>
    </w:p>
    <w:p w:rsidR="004F127D" w:rsidRPr="00C90523" w:rsidRDefault="004F127D" w:rsidP="000079EB">
      <w:pPr>
        <w:spacing w:after="0"/>
        <w:jc w:val="both"/>
      </w:pPr>
    </w:p>
    <w:p w:rsidR="000079EB" w:rsidRPr="00C90523" w:rsidRDefault="000079EB">
      <w:pPr>
        <w:rPr>
          <w:rFonts w:cs="Times New Roman"/>
          <w:b/>
          <w:bCs/>
          <w:sz w:val="20"/>
          <w:szCs w:val="20"/>
          <w:lang w:eastAsia="es-EC"/>
        </w:rPr>
      </w:pPr>
      <w:r w:rsidRPr="00C90523">
        <w:rPr>
          <w:sz w:val="20"/>
          <w:szCs w:val="20"/>
        </w:rPr>
        <w:br w:type="page"/>
      </w:r>
    </w:p>
    <w:p w:rsidR="004F127D" w:rsidRPr="00C90523" w:rsidRDefault="004F127D" w:rsidP="000079EB">
      <w:pPr>
        <w:pStyle w:val="Legenda"/>
        <w:spacing w:after="0"/>
        <w:jc w:val="center"/>
        <w:rPr>
          <w:rFonts w:asciiTheme="minorHAnsi" w:hAnsiTheme="minorHAnsi"/>
          <w:color w:val="auto"/>
          <w:sz w:val="20"/>
          <w:szCs w:val="20"/>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8</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Proporção de professores/docentes por nível de ensino e por sexo</w:t>
      </w:r>
    </w:p>
    <w:p w:rsidR="004F127D" w:rsidRPr="00C90523" w:rsidRDefault="004F127D" w:rsidP="000079EB">
      <w:pPr>
        <w:pStyle w:val="Legenda"/>
        <w:spacing w:after="0"/>
        <w:jc w:val="center"/>
        <w:rPr>
          <w:rFonts w:asciiTheme="minorHAnsi" w:hAnsiTheme="minorHAnsi"/>
          <w:sz w:val="22"/>
          <w:szCs w:val="22"/>
        </w:rPr>
      </w:pPr>
      <w:r w:rsidRPr="00F207D0">
        <w:rPr>
          <w:rFonts w:asciiTheme="minorHAnsi" w:hAnsiTheme="minorHAnsi"/>
          <w:noProof/>
          <w:sz w:val="22"/>
          <w:szCs w:val="22"/>
          <w:lang w:eastAsia="pt-PT"/>
        </w:rPr>
        <w:drawing>
          <wp:inline distT="0" distB="0" distL="0" distR="0">
            <wp:extent cx="4572000" cy="274320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F127D" w:rsidRPr="00C90523" w:rsidRDefault="004F127D" w:rsidP="000079EB">
      <w:pPr>
        <w:pStyle w:val="Legenda"/>
        <w:spacing w:after="0"/>
        <w:jc w:val="center"/>
        <w:rPr>
          <w:rFonts w:asciiTheme="minorHAnsi" w:hAnsiTheme="minorHAnsi"/>
          <w:color w:val="auto"/>
          <w:sz w:val="20"/>
          <w:szCs w:val="20"/>
        </w:rPr>
      </w:pPr>
      <w:r w:rsidRPr="00C90523">
        <w:rPr>
          <w:rFonts w:asciiTheme="minorHAnsi" w:hAnsiTheme="minorHAnsi"/>
          <w:color w:val="auto"/>
          <w:sz w:val="20"/>
          <w:szCs w:val="20"/>
        </w:rPr>
        <w:t>Fonte: Relatórios Estatísticos do MED (2012) e do MESCI (2011)</w:t>
      </w:r>
    </w:p>
    <w:p w:rsidR="000079EB" w:rsidRPr="00C90523" w:rsidRDefault="000079EB" w:rsidP="000079EB">
      <w:pPr>
        <w:spacing w:after="0"/>
        <w:jc w:val="both"/>
      </w:pPr>
    </w:p>
    <w:p w:rsidR="004F127D" w:rsidRPr="00C90523" w:rsidRDefault="004F127D" w:rsidP="000079EB">
      <w:pPr>
        <w:spacing w:after="0"/>
        <w:jc w:val="both"/>
      </w:pPr>
      <w:r w:rsidRPr="00C90523">
        <w:t xml:space="preserve">Os cargos de chefia para os quais se verifica um certo equilíbrio de género em 2014 são os exercidos a nível do Ministério da Educação e Desporto (44% mulheres e 56% homens) e dos/as Directores/as de Liceu/ES (48% mulheres e 52% homens). Neste último caso esta proporção representa uma evolução em relação à situação de 2003, em que apenas cerca de 15% dos cargos de Director/a de Liceu/ES era exercido por mulheres. Quanto mais os cargos de tomada de decisão são no terreno, como é o caso dos/as Delegados/as e dos/as gestores/as de pólos educativos, mais tendem a ser ocupados por homens. De referir que em relação à situação de 2003 se nota uma evolução no que diz respeito aos coordenadores pedagógicos (de 18% para 40%), aos gestores de pólos (de 12% para 31%), enquanto a proporção de mulheres a exercer o cargo de Delegadas diminuiu (de para 29% para 18%).     </w:t>
      </w:r>
    </w:p>
    <w:p w:rsidR="004F127D" w:rsidRPr="00C90523" w:rsidRDefault="004F127D" w:rsidP="004F127D">
      <w:pPr>
        <w:jc w:val="both"/>
        <w:rPr>
          <w:color w:val="E36C0A" w:themeColor="accent6" w:themeShade="BF"/>
        </w:rPr>
      </w:pPr>
      <w:r w:rsidRPr="00C90523">
        <w:rPr>
          <w:color w:val="E36C0A" w:themeColor="accent6" w:themeShade="BF"/>
        </w:rPr>
        <w:t xml:space="preserve">   </w:t>
      </w:r>
    </w:p>
    <w:p w:rsidR="004F127D" w:rsidRPr="00C90523" w:rsidRDefault="006568A3" w:rsidP="004F127D">
      <w:pPr>
        <w:pStyle w:val="Legenda"/>
        <w:jc w:val="center"/>
        <w:rPr>
          <w:rFonts w:asciiTheme="minorHAnsi" w:hAnsiTheme="minorHAnsi"/>
          <w:color w:val="auto"/>
          <w:sz w:val="20"/>
          <w:szCs w:val="20"/>
        </w:rPr>
      </w:pPr>
      <w:r w:rsidRPr="006568A3">
        <w:rPr>
          <w:rFonts w:asciiTheme="minorHAnsi" w:hAnsiTheme="minorHAnsi"/>
          <w:color w:val="auto"/>
          <w:sz w:val="20"/>
          <w:szCs w:val="20"/>
        </w:rPr>
        <w:t>Gráfico 1.</w:t>
      </w:r>
      <w:r w:rsidR="00F202BB" w:rsidRPr="00C90523">
        <w:rPr>
          <w:rFonts w:asciiTheme="minorHAnsi" w:hAnsiTheme="minorHAnsi"/>
          <w:color w:val="auto"/>
          <w:sz w:val="20"/>
          <w:szCs w:val="20"/>
        </w:rPr>
        <w:fldChar w:fldCharType="begin"/>
      </w:r>
      <w:r w:rsidRPr="006568A3">
        <w:rPr>
          <w:rFonts w:asciiTheme="minorHAnsi" w:hAnsiTheme="minorHAnsi"/>
          <w:color w:val="auto"/>
          <w:sz w:val="20"/>
          <w:szCs w:val="20"/>
        </w:rPr>
        <w:instrText xml:space="preserve"> SEQ Gráfico \* ARABIC </w:instrText>
      </w:r>
      <w:r w:rsidR="00F202BB" w:rsidRPr="00C90523">
        <w:rPr>
          <w:rFonts w:asciiTheme="minorHAnsi" w:hAnsiTheme="minorHAnsi"/>
          <w:color w:val="auto"/>
          <w:sz w:val="20"/>
          <w:szCs w:val="20"/>
        </w:rPr>
        <w:fldChar w:fldCharType="separate"/>
      </w:r>
      <w:r w:rsidRPr="006568A3">
        <w:rPr>
          <w:rFonts w:asciiTheme="minorHAnsi" w:hAnsiTheme="minorHAnsi"/>
          <w:noProof/>
          <w:color w:val="auto"/>
          <w:sz w:val="20"/>
          <w:szCs w:val="20"/>
        </w:rPr>
        <w:t>9</w:t>
      </w:r>
      <w:r w:rsidR="00F202BB" w:rsidRPr="00C90523">
        <w:rPr>
          <w:rFonts w:asciiTheme="minorHAnsi" w:hAnsiTheme="minorHAnsi"/>
          <w:color w:val="auto"/>
          <w:sz w:val="20"/>
          <w:szCs w:val="20"/>
        </w:rPr>
        <w:fldChar w:fldCharType="end"/>
      </w:r>
      <w:r w:rsidRPr="006568A3">
        <w:rPr>
          <w:rFonts w:asciiTheme="minorHAnsi" w:hAnsiTheme="minorHAnsi"/>
          <w:color w:val="auto"/>
          <w:sz w:val="20"/>
          <w:szCs w:val="20"/>
        </w:rPr>
        <w:t xml:space="preserve"> -</w:t>
      </w:r>
      <w:r w:rsidRPr="006568A3">
        <w:rPr>
          <w:sz w:val="20"/>
          <w:szCs w:val="20"/>
        </w:rPr>
        <w:t xml:space="preserve"> </w:t>
      </w:r>
      <w:r w:rsidRPr="006568A3">
        <w:rPr>
          <w:rFonts w:asciiTheme="minorHAnsi" w:hAnsiTheme="minorHAnsi"/>
          <w:color w:val="auto"/>
          <w:sz w:val="20"/>
          <w:szCs w:val="20"/>
        </w:rPr>
        <w:t>Cargos directivos no sector educação por sexo</w:t>
      </w:r>
      <w:r w:rsidR="004F127D" w:rsidRPr="00C90523">
        <w:rPr>
          <w:rFonts w:asciiTheme="minorHAnsi" w:hAnsiTheme="minorHAnsi"/>
          <w:noProof/>
          <w:sz w:val="22"/>
          <w:szCs w:val="22"/>
          <w:lang w:eastAsia="pt-PT"/>
        </w:rPr>
        <w:drawing>
          <wp:inline distT="0" distB="0" distL="0" distR="0">
            <wp:extent cx="4572000" cy="2743200"/>
            <wp:effectExtent l="0" t="0" r="19050" b="19050"/>
            <wp:docPr id="10"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F127D" w:rsidRPr="00861276" w:rsidRDefault="004F127D" w:rsidP="004F127D">
      <w:pPr>
        <w:pStyle w:val="Legenda"/>
        <w:spacing w:after="0"/>
        <w:ind w:firstLine="709"/>
        <w:rPr>
          <w:rFonts w:asciiTheme="minorHAnsi" w:hAnsiTheme="minorHAnsi"/>
          <w:b w:val="0"/>
          <w:color w:val="auto"/>
          <w:sz w:val="20"/>
          <w:szCs w:val="20"/>
        </w:rPr>
      </w:pPr>
      <w:r w:rsidRPr="00C90523">
        <w:rPr>
          <w:rFonts w:asciiTheme="minorHAnsi" w:hAnsiTheme="minorHAnsi"/>
          <w:color w:val="auto"/>
          <w:sz w:val="20"/>
          <w:szCs w:val="20"/>
        </w:rPr>
        <w:t xml:space="preserve">Fonte: </w:t>
      </w:r>
      <w:r w:rsidRPr="00861276">
        <w:rPr>
          <w:rFonts w:asciiTheme="minorHAnsi" w:hAnsiTheme="minorHAnsi"/>
          <w:b w:val="0"/>
          <w:color w:val="auto"/>
          <w:sz w:val="20"/>
          <w:szCs w:val="20"/>
        </w:rPr>
        <w:t>DGPOG, 2014</w:t>
      </w:r>
    </w:p>
    <w:p w:rsidR="004F127D" w:rsidRPr="00C90523" w:rsidRDefault="004F127D" w:rsidP="004F127D">
      <w:pPr>
        <w:jc w:val="both"/>
      </w:pPr>
    </w:p>
    <w:p w:rsidR="004F127D" w:rsidRPr="00C90523" w:rsidRDefault="004F127D" w:rsidP="000079EB">
      <w:pPr>
        <w:spacing w:after="0"/>
        <w:jc w:val="both"/>
      </w:pPr>
      <w:r w:rsidRPr="00C90523">
        <w:t>No que respeita aos manuais escolares, a revisão curricular absorveu parcialmente as recomendações do parecer técnico do ICIEG, para uma melhor integração do género nos currículos. Os novos recursos educativos contêm menos imagens/mensagens estereotipadas, contudo os documentos enquadradores não referem explicitamente, nos seus objectivos estratégicos a promoção da igualdade de género.</w:t>
      </w:r>
    </w:p>
    <w:p w:rsidR="004F127D" w:rsidRPr="00C90523" w:rsidRDefault="004F127D" w:rsidP="004F127D">
      <w:pPr>
        <w:pStyle w:val="Default"/>
        <w:spacing w:line="276" w:lineRule="auto"/>
        <w:jc w:val="both"/>
        <w:rPr>
          <w:rFonts w:asciiTheme="minorHAnsi" w:eastAsia="Times New Roman" w:hAnsiTheme="minorHAnsi" w:cs="Arial"/>
          <w:color w:val="auto"/>
          <w:sz w:val="22"/>
          <w:szCs w:val="22"/>
          <w:lang w:eastAsia="es-EC"/>
        </w:rPr>
      </w:pPr>
    </w:p>
    <w:p w:rsidR="004F127D" w:rsidRPr="00C90523" w:rsidRDefault="006568A3" w:rsidP="00E60FC4">
      <w:pPr>
        <w:pStyle w:val="Cabealho3"/>
      </w:pPr>
      <w:bookmarkStart w:id="47" w:name="_Toc402442231"/>
      <w:bookmarkStart w:id="48" w:name="_Toc406667283"/>
      <w:r w:rsidRPr="006568A3">
        <w:t>1.2.5. Situação perante a atividade productiva</w:t>
      </w:r>
      <w:bookmarkEnd w:id="47"/>
      <w:bookmarkEnd w:id="48"/>
    </w:p>
    <w:p w:rsidR="004F127D" w:rsidRPr="00C90523" w:rsidRDefault="004F127D" w:rsidP="000079EB">
      <w:pPr>
        <w:spacing w:after="0"/>
        <w:jc w:val="both"/>
        <w:rPr>
          <w:rFonts w:cs="Arial"/>
        </w:rPr>
      </w:pPr>
    </w:p>
    <w:p w:rsidR="004F127D" w:rsidRPr="00C90523" w:rsidRDefault="006568A3" w:rsidP="004F127D">
      <w:pPr>
        <w:pStyle w:val="Cabealho"/>
        <w:spacing w:line="276" w:lineRule="auto"/>
        <w:jc w:val="both"/>
        <w:rPr>
          <w:b/>
          <w:bCs/>
          <w:i/>
          <w:iCs/>
        </w:rPr>
      </w:pPr>
      <w:r w:rsidRPr="006568A3">
        <w:rPr>
          <w:b/>
          <w:bCs/>
          <w:i/>
          <w:iCs/>
        </w:rPr>
        <w:t>a) Taxa de actividade.</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pPr>
      <w:r w:rsidRPr="006568A3">
        <w:t>Segundo os dados de 2013, 60,1% da população de 15 anos ou mais encontra-se activa, enquanto praticamente 40% é considerada inactiva.</w:t>
      </w:r>
      <w:r w:rsidR="004F127D" w:rsidRPr="00C90523">
        <w:rPr>
          <w:rStyle w:val="Refdenotaderodap"/>
        </w:rPr>
        <w:footnoteReference w:id="33"/>
      </w:r>
      <w:r w:rsidRPr="006568A3">
        <w:t xml:space="preserve"> Existe uma diferença de cerca de 14 pontos percentuais entre a taxa de actividade de mulheres e homens, 53,5% e 67,1%, respectivamente. Em relação a 2012, registou-se uma diminuição na taxa de actividade, em cerca de 3 pontos percentuais (62,6%),</w:t>
      </w:r>
      <w:r w:rsidR="004F127D" w:rsidRPr="00C90523">
        <w:rPr>
          <w:rStyle w:val="Refdenotaderodap"/>
        </w:rPr>
        <w:footnoteReference w:id="34"/>
      </w:r>
      <w:r w:rsidRPr="006568A3">
        <w:t xml:space="preserve"> diminuição que foi mais acentuada entre as mulheres, (cerca de 4 pontos percentuais - 57%), do que entre os homens (cerca de 2 pontos percentuais - 69%). De referir que a população urbana tem uma taxa de actividade superior à da população rural (64% e 53%, respectivamente), situação que se diferencia ainda mais em razão do sexo: existe uma diferença de cerca de 13 pontos percentuais entre a taxa de actividade de mulheres e homens no meio urbano (57,5% e </w:t>
      </w:r>
      <w:r w:rsidRPr="006568A3">
        <w:rPr>
          <w:rFonts w:cs="ArialMT"/>
        </w:rPr>
        <w:t>70%, respectivamente), que no meio rural é de 16 pontos percentuais (45,7% entre as mulheres e 61,3% entre os homens).</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pPr>
      <w:r w:rsidRPr="006568A3">
        <w:t>Em relação à população considera da inativa em 2013, a proporção de mulheres (47%) é superior à dos homens (40%). Entre os motivos para não se ser considerado(a) população activa no âmbito de um inquérito ao emprego, estão as responsabilidades familiares: de acordo com os dados do Censo 2010, 22,5% das mulheres referem ser esse o principal factor que limita a sua entrada no mercado de trabalho, o que acontece com cerca de 4% dos homens. Dado que ilustra a maior situação de dependência das mulheres, quer na actualidade, quer potencialmente no futuro, na medida em que não terão acesso à cobertura do regime contributivo da segurança social. De referir que os dados apontam para um maior peso das mulheres entre os beneficiários de pensões ou outros apoios sociais.</w:t>
      </w:r>
      <w:r w:rsidR="004F127D" w:rsidRPr="00C90523">
        <w:rPr>
          <w:rStyle w:val="Refdenotaderodap"/>
        </w:rPr>
        <w:footnoteReference w:id="35"/>
      </w:r>
      <w:r w:rsidRPr="006568A3">
        <w:t xml:space="preserve"> </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rPr>
          <w:b/>
          <w:i/>
          <w:iCs/>
        </w:rPr>
      </w:pPr>
      <w:r w:rsidRPr="006568A3">
        <w:rPr>
          <w:b/>
          <w:i/>
          <w:iCs/>
        </w:rPr>
        <w:t>b) Sectores de atividade.</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pPr>
      <w:r w:rsidRPr="006568A3">
        <w:t>Observam-se nos últimos anos mudanças no perfil das actividades económicas no país, bem como nos nichos de emprego de mulheres e homens. Os dados de 2012 apontam para a renovada importância da agricultura, pecuária e pesca, que ocupa quase 1/4 da população (24,8%), quando em 2006 tinha descido para a terceira posição (14%). O Censo Agrícola, em curso, permitirá num futuro breve melhor caracterizar a situação das mulheres e homens que trabalham neste domínio. Segue-se-lhe o ramo do comércio (15,7%) e da administração pública (9%), enquanto para a educação e a saúde, sectores essencialmente públicos, as proporções são de 6% e 2% respectivamente). Em 2006 a construção estava em expansão e era a segunda área de actividade (15%), enquanto em 2012 absorve 8,2% do total, passando para a terceira posição, em pé de igualdade com as indústrias transformadoras (que em 2006 representavam 7,4% do total).</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pPr>
      <w:r w:rsidRPr="006568A3">
        <w:t xml:space="preserve">Em 2012 os principais nichos de emprego das mulheres são a Agricultura, o Comércio, a Educação e o Emprego Doméstico, representando respectivamente 22%, 21%, 9% e 9%. Em relação a 2006, aumentou a presença das mulheres na agricultura, manteve-se a sua presença no comércio, e diminuiu a sua representação na administração pública, que vem em 5º lugar, enquanto para os homens se constitui como o 3º empregador. Contudo, na Educação e Saúde, sectores essencialmente públicos, predominam as mulheres. O emprego doméstico, uma actividade essencialmente feminina (exercida por mulheres em 90% dos casos) mantem a sua importância no compto geral das actividades das mulheres. Para os homens, os nichos de emprego são a Agricultura, a Construção, a Administração Pública e o Comércio, representando respectivamente 27%, 15%, 11% e 10%. Em 2006 a principal fonte de actividade dos homens era a construção (23%), seguida da agricultura (15%), tendo assim invertido as posições. Globalmente verifica-se que persiste uma importante segregação de género em relação às actividades profissionais, e que muitos dos nichos de emprego feminino não são necessariamente rentáveis, valorizados socialmente ou seguros. Vide o caso do comércio que, no caso das mulheres é de natureza essencialmente informal, ou ainda o emprego doméstico, o 4º empregador das mulheres em Cabo Verde. Adicionalmente as mulheres são o grosso dos trabalhadores familiares não remunerados. </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rPr>
          <w:color w:val="F79646" w:themeColor="accent6"/>
        </w:rPr>
      </w:pPr>
      <w:r w:rsidRPr="006568A3">
        <w:t>De acordo com o 4º Recenseamento Empresarial (2012), em 2012 Cabo Verde contava com 10.101 empresas, mais 1.385 empresas do que em 2007. O sector privado cabo-verdiano caracteriza-se sobretudo por micro, pequenas e médias empresas (cerca de 2/3 não tem contabilidade organizada e apenas 24% tem acesso a computador). De acordo com este mesmo inquérito, as mulheres exercem a liderança nas empresas em 35% dos casos. As mulheres são reconhecidas pela sua capacidade empreendedora, contudo enfrentam desafios substanciais no estabelecimento e crescimento das suas iniciativas empresariais. Representam 52,5% dos ativos do sector informal (76% no comércio), sabendo que 50% dos empregados do sector informal auferem um rendimento mensal inferior a 11.800 ECV, investindo mais de 44 horas semanais de trabalho (o comércio apresenta o rendimento mensal mais baixo e as mulheres do sector informal globalmente têm um rendimento 2 vezes mais baixo do que o dos homnes; em termo do seu estatuto nas unidade, 60% são trabalhadoras familiares não  remuneradas).</w:t>
      </w:r>
      <w:r w:rsidR="004F127D" w:rsidRPr="00C90523">
        <w:rPr>
          <w:rStyle w:val="Refdenotaderodap"/>
        </w:rPr>
        <w:footnoteReference w:id="36"/>
      </w:r>
      <w:r w:rsidRPr="006568A3">
        <w:t xml:space="preserve"> De referir a pressão que existe actualmente</w:t>
      </w:r>
      <w:r w:rsidRPr="006568A3">
        <w:rPr>
          <w:color w:val="F79646" w:themeColor="accent6"/>
        </w:rPr>
        <w:t xml:space="preserve"> </w:t>
      </w:r>
      <w:r w:rsidRPr="006568A3">
        <w:t xml:space="preserve">para a formalização dos negócios do sector informal, quer para minimizar a concorrência desleal, quer numa lógica de aumento da base tributária. No entanto a informalidade também representa uma estratégia de sobrevivência, e as iniciativas de capacitação para a actividade empreendedora ainda são limitadas, e as que existem raramente têm um enfoque de género. </w:t>
      </w:r>
    </w:p>
    <w:p w:rsidR="004F127D" w:rsidRPr="00C90523" w:rsidRDefault="004F127D" w:rsidP="004F127D">
      <w:pPr>
        <w:pStyle w:val="Cabealho"/>
        <w:spacing w:line="276" w:lineRule="auto"/>
        <w:jc w:val="both"/>
        <w:rPr>
          <w:color w:val="0070C0"/>
        </w:rPr>
      </w:pPr>
    </w:p>
    <w:p w:rsidR="004F127D" w:rsidRPr="00C90523" w:rsidRDefault="006568A3" w:rsidP="004F127D">
      <w:pPr>
        <w:pStyle w:val="Cabealho"/>
        <w:spacing w:line="276" w:lineRule="auto"/>
        <w:jc w:val="both"/>
        <w:rPr>
          <w:b/>
          <w:i/>
          <w:iCs/>
        </w:rPr>
      </w:pPr>
      <w:r w:rsidRPr="006568A3">
        <w:rPr>
          <w:b/>
          <w:i/>
          <w:iCs/>
        </w:rPr>
        <w:t>c) Subemprego e emprego precário.</w:t>
      </w:r>
    </w:p>
    <w:p w:rsidR="004F127D" w:rsidRPr="00C90523" w:rsidRDefault="004F127D" w:rsidP="000079EB">
      <w:pPr>
        <w:autoSpaceDE w:val="0"/>
        <w:autoSpaceDN w:val="0"/>
        <w:adjustRightInd w:val="0"/>
        <w:spacing w:after="0"/>
        <w:jc w:val="both"/>
        <w:rPr>
          <w:rFonts w:eastAsia="Times New Roman"/>
        </w:rPr>
      </w:pPr>
    </w:p>
    <w:p w:rsidR="008A7270" w:rsidRDefault="004F127D" w:rsidP="000079EB">
      <w:pPr>
        <w:autoSpaceDE w:val="0"/>
        <w:autoSpaceDN w:val="0"/>
        <w:adjustRightInd w:val="0"/>
        <w:spacing w:after="0"/>
        <w:jc w:val="both"/>
        <w:rPr>
          <w:rFonts w:eastAsia="Times New Roman"/>
        </w:rPr>
      </w:pPr>
      <w:r w:rsidRPr="00C90523">
        <w:rPr>
          <w:rFonts w:eastAsia="Times New Roman"/>
        </w:rPr>
        <w:t>O INE vem publicando dados em relação ao subemprego</w:t>
      </w:r>
      <w:r w:rsidRPr="00C90523">
        <w:rPr>
          <w:rStyle w:val="Refdenotaderodap"/>
          <w:rFonts w:eastAsia="Times New Roman"/>
        </w:rPr>
        <w:footnoteReference w:id="37"/>
      </w:r>
      <w:r w:rsidRPr="00C90523">
        <w:rPr>
          <w:rFonts w:eastAsia="Times New Roman"/>
        </w:rPr>
        <w:t xml:space="preserve"> que confirmam o acima exposto: </w:t>
      </w:r>
    </w:p>
    <w:p w:rsidR="004F127D" w:rsidRPr="00C90523" w:rsidRDefault="004F127D" w:rsidP="000079EB">
      <w:pPr>
        <w:autoSpaceDE w:val="0"/>
        <w:autoSpaceDN w:val="0"/>
        <w:adjustRightInd w:val="0"/>
        <w:spacing w:after="0"/>
        <w:jc w:val="both"/>
        <w:rPr>
          <w:rFonts w:eastAsia="Times New Roman"/>
        </w:rPr>
      </w:pPr>
      <w:r w:rsidRPr="00C90523">
        <w:rPr>
          <w:rFonts w:eastAsia="Times New Roman"/>
        </w:rPr>
        <w:t xml:space="preserve">em 2013 o subemprego afecta 37,8% da população activa ocupada, em particular os que laboram no meio rural (60,6%), o que confirma a falta de oportunidades no </w:t>
      </w:r>
      <w:r w:rsidRPr="00C90523">
        <w:t>acesso a um rendimento independente e regular</w:t>
      </w:r>
      <w:r w:rsidRPr="00861276">
        <w:rPr>
          <w:rFonts w:eastAsia="Times New Roman"/>
        </w:rPr>
        <w:t>. A</w:t>
      </w:r>
      <w:r w:rsidRPr="00C90523">
        <w:rPr>
          <w:rFonts w:eastAsia="Times New Roman"/>
        </w:rPr>
        <w:t xml:space="preserve">s mulheres têm sempre taxas de subemprego superiores às dos homens: existe uma diferença de quase 12 pontos percentuais globalmente (44,2% das mulheres são afectadas pelo subemprego contra 32,4% dos homens), um fosso que acende a 18,7 pontos percentuais no meio rural (71% das mulheres versus 52,4% dos homens). </w:t>
      </w:r>
    </w:p>
    <w:p w:rsidR="004F127D" w:rsidRPr="00C90523" w:rsidRDefault="004F127D" w:rsidP="000079EB">
      <w:pPr>
        <w:autoSpaceDE w:val="0"/>
        <w:autoSpaceDN w:val="0"/>
        <w:adjustRightInd w:val="0"/>
        <w:spacing w:after="0"/>
        <w:jc w:val="both"/>
        <w:rPr>
          <w:rFonts w:eastAsia="Times New Roman"/>
        </w:rPr>
      </w:pPr>
    </w:p>
    <w:p w:rsidR="004F127D" w:rsidRPr="00C90523" w:rsidRDefault="004F127D" w:rsidP="000079EB">
      <w:pPr>
        <w:tabs>
          <w:tab w:val="num" w:pos="720"/>
        </w:tabs>
        <w:autoSpaceDE w:val="0"/>
        <w:autoSpaceDN w:val="0"/>
        <w:adjustRightInd w:val="0"/>
        <w:spacing w:after="0"/>
        <w:jc w:val="both"/>
        <w:rPr>
          <w:rFonts w:eastAsia="Times New Roman"/>
        </w:rPr>
      </w:pPr>
      <w:r w:rsidRPr="00C90523">
        <w:rPr>
          <w:rFonts w:eastAsia="Times New Roman"/>
        </w:rPr>
        <w:t>A proporção de trabalhadores por conta própria e trabalhadores familiares não remunerados</w:t>
      </w:r>
      <w:r w:rsidRPr="00C90523">
        <w:rPr>
          <w:rStyle w:val="Refdenotaderodap"/>
          <w:rFonts w:eastAsia="Times New Roman"/>
        </w:rPr>
        <w:footnoteReference w:id="38"/>
      </w:r>
      <w:r w:rsidRPr="00C90523">
        <w:rPr>
          <w:rFonts w:eastAsia="Times New Roman"/>
        </w:rPr>
        <w:t xml:space="preserve"> é outro indicador que permite uma reflexão sobre o emprego de baixa qualidade. No caso das mulheres é sempre substancial</w:t>
      </w:r>
      <w:r w:rsidRPr="00861276">
        <w:rPr>
          <w:rFonts w:eastAsia="Times New Roman"/>
        </w:rPr>
        <w:t>mente maior do que para os homens: em 2010, mais de 4 em cada 10 mulheres empregadas tem um emprego por conta própria ou não remunerado (41%) face a 2 em cada 10 homens (22%). Este indicador reflecte, entre outros, a situação das mulheres no s</w:t>
      </w:r>
      <w:r w:rsidRPr="00C90523">
        <w:rPr>
          <w:rFonts w:eastAsia="Times New Roman"/>
        </w:rPr>
        <w:t>ector informal, com empregos precários, de baixo rendimento, não valorizados socialmente e sem acesso a protecção social (com consequências actuais e futuras). O emprego de baixa qualidade tem consequências específicas para as mulheres chefes de família monoparentais: o baixo rendimento e número de horas trabalhadas afectam os meios e horas dedicados aos cuidados familiares que, na ausência de um sistema de suporte familiar, ampliam os mecanismos de reprodução do ciclo da pobreza.</w:t>
      </w:r>
    </w:p>
    <w:p w:rsidR="000079EB" w:rsidRPr="00C90523" w:rsidRDefault="000079EB" w:rsidP="004F127D">
      <w:pPr>
        <w:pStyle w:val="Legenda"/>
        <w:spacing w:after="0"/>
        <w:jc w:val="center"/>
        <w:rPr>
          <w:rFonts w:asciiTheme="minorHAnsi" w:hAnsiTheme="minorHAnsi"/>
          <w:color w:val="auto"/>
          <w:sz w:val="20"/>
          <w:szCs w:val="20"/>
        </w:rPr>
      </w:pPr>
    </w:p>
    <w:p w:rsidR="004F127D" w:rsidRPr="00C90523" w:rsidRDefault="004F127D" w:rsidP="004F127D">
      <w:pPr>
        <w:pStyle w:val="Legenda"/>
        <w:spacing w:after="0"/>
        <w:jc w:val="center"/>
        <w:rPr>
          <w:rFonts w:asciiTheme="minorHAnsi" w:eastAsia="Times New Roman" w:hAnsiTheme="minorHAnsi"/>
          <w:color w:val="auto"/>
          <w:sz w:val="20"/>
          <w:szCs w:val="20"/>
          <w:lang w:eastAsia="pt-PT"/>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10</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Evolução da proporção de trabalhadores/as por conta própria &amp; familiares não remunerados de 2000 a 2010, por sexo (sobre população empregada)</w:t>
      </w:r>
    </w:p>
    <w:p w:rsidR="004F127D" w:rsidRPr="00C90523" w:rsidRDefault="004F127D" w:rsidP="000079EB">
      <w:pPr>
        <w:autoSpaceDE w:val="0"/>
        <w:autoSpaceDN w:val="0"/>
        <w:adjustRightInd w:val="0"/>
        <w:jc w:val="both"/>
        <w:rPr>
          <w:rFonts w:eastAsia="Times New Roman"/>
        </w:rPr>
      </w:pPr>
      <w:r w:rsidRPr="00C90523">
        <w:rPr>
          <w:rFonts w:eastAsia="Times New Roman"/>
          <w:noProof/>
        </w:rPr>
        <w:drawing>
          <wp:inline distT="0" distB="0" distL="0" distR="0">
            <wp:extent cx="5238119" cy="2167915"/>
            <wp:effectExtent l="0" t="0" r="19685" b="22860"/>
            <wp:docPr id="1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C90523">
        <w:rPr>
          <w:rFonts w:eastAsia="Times New Roman"/>
          <w:b/>
        </w:rPr>
        <w:t xml:space="preserve">Fonte: </w:t>
      </w:r>
      <w:r w:rsidRPr="00C90523">
        <w:rPr>
          <w:rFonts w:eastAsia="Times New Roman"/>
        </w:rPr>
        <w:t>INE, Censo 2000 e 2010 e vários inquéritos</w:t>
      </w:r>
    </w:p>
    <w:p w:rsidR="004F127D" w:rsidRPr="00861276" w:rsidRDefault="004F127D" w:rsidP="000079EB">
      <w:pPr>
        <w:autoSpaceDE w:val="0"/>
        <w:autoSpaceDN w:val="0"/>
        <w:adjustRightInd w:val="0"/>
        <w:spacing w:after="0"/>
        <w:jc w:val="both"/>
        <w:rPr>
          <w:rFonts w:eastAsia="Times New Roman"/>
        </w:rPr>
      </w:pPr>
    </w:p>
    <w:p w:rsidR="004F127D" w:rsidRPr="00C90523" w:rsidRDefault="006568A3" w:rsidP="004F127D">
      <w:pPr>
        <w:pStyle w:val="Cabealho"/>
        <w:spacing w:line="276" w:lineRule="auto"/>
        <w:jc w:val="both"/>
        <w:rPr>
          <w:b/>
          <w:i/>
          <w:iCs/>
        </w:rPr>
      </w:pPr>
      <w:bookmarkStart w:id="49" w:name="_Toc202292421"/>
      <w:r w:rsidRPr="006568A3">
        <w:rPr>
          <w:b/>
          <w:i/>
          <w:iCs/>
        </w:rPr>
        <w:t>d) Desemprego</w:t>
      </w:r>
      <w:bookmarkEnd w:id="49"/>
      <w:r w:rsidRPr="006568A3">
        <w:rPr>
          <w:b/>
          <w:i/>
          <w:iCs/>
        </w:rPr>
        <w:t>.</w:t>
      </w:r>
    </w:p>
    <w:p w:rsidR="004F127D" w:rsidRPr="00C90523" w:rsidRDefault="004F127D" w:rsidP="000079EB">
      <w:pPr>
        <w:autoSpaceDE w:val="0"/>
        <w:autoSpaceDN w:val="0"/>
        <w:adjustRightInd w:val="0"/>
        <w:spacing w:after="0"/>
        <w:jc w:val="both"/>
        <w:rPr>
          <w:rFonts w:eastAsia="Times New Roman"/>
        </w:rPr>
      </w:pPr>
    </w:p>
    <w:p w:rsidR="004F127D" w:rsidRPr="00C90523" w:rsidRDefault="004F127D" w:rsidP="000079EB">
      <w:pPr>
        <w:autoSpaceDE w:val="0"/>
        <w:autoSpaceDN w:val="0"/>
        <w:adjustRightInd w:val="0"/>
        <w:spacing w:after="0"/>
        <w:jc w:val="both"/>
        <w:rPr>
          <w:rFonts w:eastAsia="Times New Roman"/>
        </w:rPr>
      </w:pPr>
      <w:r w:rsidRPr="00861276">
        <w:rPr>
          <w:rFonts w:eastAsia="Times New Roman"/>
        </w:rPr>
        <w:t>O desemprego tem-se mantido el</w:t>
      </w:r>
      <w:r w:rsidRPr="00C90523">
        <w:rPr>
          <w:rFonts w:eastAsia="Times New Roman"/>
        </w:rPr>
        <w:t>evado: 10,7% em 2010, 12,2% em 2011, 16,8% em 2012 e 16,4% em 2013. Pela primeira vez em décadas, em 2013, a taxa de desemprego é superior entre os homens (16,9%) em relação às mulheres (15,7%). Contudo, o desemprego é maior entre as mulheres jovens: dos 20-24 anos há 6 pontos percentuais de diferença entre mulheres e homens (respectivamente 37% e 31%). De forma geral a taxa de desemprego dos jovens (15-24 anos) continua substancialmente mais elevada (34,6%) e mantêm-se as diferenças entre meio rural e urbano (com taxas de desemprego, respectivamente, de 19,2% e 10%).</w:t>
      </w:r>
    </w:p>
    <w:p w:rsidR="004F127D" w:rsidRPr="00C90523" w:rsidRDefault="004F127D" w:rsidP="004F127D">
      <w:pPr>
        <w:pStyle w:val="Cabealho"/>
        <w:spacing w:line="276" w:lineRule="auto"/>
        <w:jc w:val="both"/>
        <w:rPr>
          <w:b/>
          <w:i/>
          <w:iCs/>
        </w:rPr>
      </w:pPr>
      <w:bookmarkStart w:id="50" w:name="_Toc202292423"/>
    </w:p>
    <w:p w:rsidR="00C77BE6" w:rsidRDefault="00C77BE6">
      <w:pPr>
        <w:rPr>
          <w:b/>
          <w:i/>
          <w:iCs/>
        </w:rPr>
      </w:pPr>
      <w:r>
        <w:rPr>
          <w:b/>
          <w:i/>
          <w:iCs/>
        </w:rPr>
        <w:br w:type="page"/>
      </w:r>
    </w:p>
    <w:p w:rsidR="004F127D" w:rsidRPr="00C90523" w:rsidRDefault="006568A3" w:rsidP="004F127D">
      <w:pPr>
        <w:pStyle w:val="Cabealho"/>
        <w:spacing w:line="276" w:lineRule="auto"/>
        <w:jc w:val="both"/>
        <w:rPr>
          <w:b/>
          <w:i/>
          <w:iCs/>
        </w:rPr>
      </w:pPr>
      <w:r w:rsidRPr="006568A3">
        <w:rPr>
          <w:b/>
          <w:i/>
          <w:iCs/>
        </w:rPr>
        <w:t>e) A pobreza</w:t>
      </w:r>
      <w:bookmarkEnd w:id="50"/>
      <w:r w:rsidRPr="006568A3">
        <w:rPr>
          <w:b/>
          <w:i/>
          <w:iCs/>
        </w:rPr>
        <w:t>.</w:t>
      </w:r>
    </w:p>
    <w:p w:rsidR="004F127D" w:rsidRPr="00C90523" w:rsidRDefault="004F127D" w:rsidP="004F127D">
      <w:pPr>
        <w:pStyle w:val="Cabealho"/>
        <w:spacing w:line="276" w:lineRule="auto"/>
        <w:jc w:val="both"/>
      </w:pPr>
    </w:p>
    <w:p w:rsidR="004F127D" w:rsidRPr="00C90523" w:rsidRDefault="006568A3" w:rsidP="004F127D">
      <w:pPr>
        <w:pStyle w:val="Cabealho"/>
        <w:spacing w:line="276" w:lineRule="auto"/>
        <w:jc w:val="both"/>
      </w:pPr>
      <w:r w:rsidRPr="006568A3">
        <w:t xml:space="preserve">Os dados sobre a pobreza datam de 2007, altura em que se verificou que 33% das famílias chefiadas por mulheres viviam em situação de pobreza, o que acontecia com cerca de 21% das famílias chefiadas por homens. A pobreza era um fenómeno essencialmente rural, sendo a situação de mulheres e homens no mundo rural bastante diferenciada, por exemplo em termos de educação, como já referenciado. Apesar das mulheres serem detentoras de saberes tradicionais em várias áreas, tais como a transformação, e de experiência na comercialização de produtos, essencialmente informal, não têm experiência, instrumentos e competências que lhes permitam uma análise consistente das oportunidades do mercado, melhorar os seus produtos e coloca-los de forma sustentável no mercado. Estes factores, bem como as limitações no acesso ao crédito impactam o desenvolvimento de iniciativas de negócio. </w:t>
      </w:r>
    </w:p>
    <w:p w:rsidR="004F127D" w:rsidRPr="00C90523" w:rsidRDefault="004F127D" w:rsidP="000079EB">
      <w:pPr>
        <w:shd w:val="clear" w:color="auto" w:fill="FFFFFF"/>
        <w:spacing w:after="0"/>
        <w:rPr>
          <w:rFonts w:eastAsia="Times New Roman"/>
          <w:b/>
          <w:color w:val="000000"/>
          <w:highlight w:val="cyan"/>
        </w:rPr>
      </w:pPr>
    </w:p>
    <w:p w:rsidR="004F127D" w:rsidRPr="00C90523" w:rsidRDefault="004F127D" w:rsidP="000079EB">
      <w:pPr>
        <w:shd w:val="clear" w:color="auto" w:fill="FFFFFF"/>
        <w:spacing w:after="0"/>
        <w:jc w:val="both"/>
        <w:rPr>
          <w:rFonts w:eastAsia="Times New Roman"/>
          <w:color w:val="000000"/>
        </w:rPr>
      </w:pPr>
      <w:r w:rsidRPr="00C90523">
        <w:rPr>
          <w:rFonts w:eastAsia="Times New Roman"/>
          <w:color w:val="000000"/>
        </w:rPr>
        <w:t>O inquérito ao trabalho infantil (2012) mostra que cerca de 58% das crianças qu</w:t>
      </w:r>
      <w:r w:rsidRPr="00861276">
        <w:rPr>
          <w:rFonts w:eastAsia="Times New Roman"/>
          <w:color w:val="000000"/>
        </w:rPr>
        <w:t>e trabalham</w:t>
      </w:r>
      <w:r w:rsidRPr="00C90523">
        <w:rPr>
          <w:rStyle w:val="Refdenotaderodap"/>
          <w:rFonts w:eastAsia="Times New Roman"/>
          <w:color w:val="000000"/>
        </w:rPr>
        <w:footnoteReference w:id="39"/>
      </w:r>
      <w:r w:rsidRPr="00C90523">
        <w:rPr>
          <w:rFonts w:eastAsia="Times New Roman"/>
          <w:color w:val="000000"/>
        </w:rPr>
        <w:t xml:space="preserve"> vivem </w:t>
      </w:r>
      <w:r w:rsidRPr="00C90523">
        <w:rPr>
          <w:rFonts w:cs="Arial"/>
        </w:rPr>
        <w:t>em agregados com níveis de conforto baixo ou muito baixo. A proporção de crianças que trabalha é mais elevada quando estas pertencem a agregados monoparentais, dirigidos por mulheres (7,5% contra 5,4%). De referir que a grande maioria da</w:t>
      </w:r>
      <w:r w:rsidRPr="00861276">
        <w:rPr>
          <w:rFonts w:cs="Arial"/>
        </w:rPr>
        <w:t>s crianças (84,5%) exerce uma actividade no contexto familiar, sobretudo no domínio da agricultura e criação de gado. As raparigas predominam nos trabalhos domésticos e 11% das crianças ocupadas exerceram tarefas domésticas sem laço de parente</w:t>
      </w:r>
      <w:r w:rsidRPr="00C90523">
        <w:rPr>
          <w:rFonts w:cs="Arial"/>
        </w:rPr>
        <w:t>sco com o representante do agregado. A maioria das crianças que tem uma actividade doméstica vai à escola, mas 1 em cada 5 crianças não vai (22%), sendo a proporção mais elevada para as raparigas (29% contra 18% entre os rapazes).</w:t>
      </w:r>
    </w:p>
    <w:p w:rsidR="004F127D" w:rsidRPr="00C90523" w:rsidRDefault="004F127D" w:rsidP="000079EB">
      <w:pPr>
        <w:shd w:val="clear" w:color="auto" w:fill="FFFFFF"/>
        <w:spacing w:after="0"/>
        <w:rPr>
          <w:rFonts w:eastAsia="Times New Roman"/>
          <w:color w:val="000000"/>
        </w:rPr>
      </w:pPr>
    </w:p>
    <w:p w:rsidR="004F127D" w:rsidRPr="00C90523" w:rsidRDefault="006568A3" w:rsidP="00E60FC4">
      <w:pPr>
        <w:pStyle w:val="Cabealho3"/>
      </w:pPr>
      <w:bookmarkStart w:id="51" w:name="_Toc402442232"/>
      <w:bookmarkStart w:id="52" w:name="_Toc406667284"/>
      <w:r w:rsidRPr="006568A3">
        <w:t>1.2.6. Contribuições desde a economia reprodutiva</w:t>
      </w:r>
      <w:bookmarkEnd w:id="51"/>
      <w:bookmarkEnd w:id="52"/>
    </w:p>
    <w:p w:rsidR="004F127D" w:rsidRPr="00C90523" w:rsidRDefault="004F127D" w:rsidP="000079EB">
      <w:pPr>
        <w:spacing w:after="0"/>
        <w:jc w:val="both"/>
        <w:rPr>
          <w:rFonts w:eastAsia="Times New Roman" w:cs="Arial"/>
        </w:rPr>
      </w:pPr>
    </w:p>
    <w:p w:rsidR="004F127D" w:rsidRPr="00C90523" w:rsidRDefault="004F127D" w:rsidP="000079EB">
      <w:pPr>
        <w:spacing w:after="0"/>
        <w:jc w:val="both"/>
      </w:pPr>
      <w:r w:rsidRPr="00C90523">
        <w:rPr>
          <w:rFonts w:eastAsia="Times New Roman" w:cs="Arial"/>
        </w:rPr>
        <w:t>Se atendermos aos indicadores do inquérito sobre o uso do tempo, de 2012, verificamos que quando as mulheres trabalham de forma remunerada, tendem a acumular as tarefas remuneradas e as não remuneradas, ou seja arcam com o peso de uma dupla j</w:t>
      </w:r>
      <w:r w:rsidRPr="00861276">
        <w:rPr>
          <w:rFonts w:eastAsia="Times New Roman" w:cs="Arial"/>
        </w:rPr>
        <w:t>ornada de trabalho. As mulheres têm assim uma carga total de trabalho (remunerado e não remunerado) enorme, que representa 62% de todo o trabalho realizado em Cabo Verde (remunerado e não remunerado). A parte que cabe aos homens é de 38%, esse</w:t>
      </w:r>
      <w:r w:rsidRPr="00C90523">
        <w:rPr>
          <w:rFonts w:eastAsia="Times New Roman" w:cs="Arial"/>
        </w:rPr>
        <w:t>ncialmente relativa ao trabalho remunerado. Elas também participam mais do que os homens no trabalho não remunerado (56% versus 44%). F</w:t>
      </w:r>
      <w:r w:rsidRPr="00C90523">
        <w:t xml:space="preserve">ica claro que as relações de género existentes transferem o grande peso do trabalho não remunerado para as mulheres, de forma particularmente vincada no caso das mais pobres: com </w:t>
      </w:r>
      <w:r w:rsidRPr="00C90523">
        <w:rPr>
          <w:rFonts w:eastAsia="Times New Roman" w:cs="Arial"/>
        </w:rPr>
        <w:t>efeito</w:t>
      </w:r>
      <w:r w:rsidRPr="00C90523">
        <w:t xml:space="preserve"> as mulheres nos níveis de conforto mais baixos e com menores níveis de educação têm a seu cargo mais horas de trabalho não remunerado do que as demais. Entre as mulheres que detêm no máximo o ensino básico, e as que frequentaram ensino médio ou superior, essa diferença é de cerca de 10 horas médias semanais a mais. Por outro lado, o ciclo de vida tem também impacto no trabalho não remunerado das mulheres, enquanto praticamente não sofre alteração ao longo das diferentes etapas de vida no caso dos homens: a partir da adolescência e ao longo da vida, as mulheres dedicam-lhe cada vez mais tempo, quase o dobro do dedicado pelos homens. Trabalho que só volta a diminuir a partir dos 65 anos. O tempo dedicado pelas mulheres aos cuidados dos filhos aumenta com o número de filhos (mais de 12 horas médias semanais de diferença entre quem tem 1 e 3 crianças), tempo que praticamente não varia no caso dos homens. </w:t>
      </w:r>
    </w:p>
    <w:p w:rsidR="004F127D" w:rsidRPr="00C90523" w:rsidRDefault="004F127D" w:rsidP="000079EB">
      <w:pPr>
        <w:spacing w:after="0"/>
        <w:jc w:val="both"/>
      </w:pPr>
    </w:p>
    <w:tbl>
      <w:tblPr>
        <w:tblW w:w="0" w:type="auto"/>
        <w:tblLook w:val="04A0" w:firstRow="1" w:lastRow="0" w:firstColumn="1" w:lastColumn="0" w:noHBand="0" w:noVBand="1"/>
      </w:tblPr>
      <w:tblGrid>
        <w:gridCol w:w="4322"/>
        <w:gridCol w:w="4322"/>
      </w:tblGrid>
      <w:tr w:rsidR="004F127D" w:rsidRPr="00C90523" w:rsidTr="000079EB">
        <w:tc>
          <w:tcPr>
            <w:tcW w:w="4322" w:type="dxa"/>
            <w:shd w:val="clear" w:color="auto" w:fill="FDE9D9" w:themeFill="accent6" w:themeFillTint="33"/>
          </w:tcPr>
          <w:p w:rsidR="004F127D" w:rsidRPr="00C90523" w:rsidRDefault="004F127D" w:rsidP="000079EB">
            <w:pPr>
              <w:pStyle w:val="Legenda"/>
              <w:rPr>
                <w:rFonts w:asciiTheme="minorHAnsi" w:hAnsiTheme="minorHAnsi"/>
                <w:color w:val="auto"/>
                <w:sz w:val="20"/>
                <w:szCs w:val="20"/>
              </w:rPr>
            </w:pPr>
            <w:r w:rsidRPr="00C90523">
              <w:rPr>
                <w:rFonts w:asciiTheme="minorHAnsi" w:hAnsiTheme="minorHAnsi"/>
                <w:color w:val="auto"/>
                <w:sz w:val="20"/>
                <w:szCs w:val="20"/>
              </w:rPr>
              <w:t>Gráfico 1.</w:t>
            </w:r>
            <w:r w:rsidR="00F202BB" w:rsidRPr="00F207D0">
              <w:rPr>
                <w:rFonts w:asciiTheme="minorHAnsi" w:hAnsiTheme="minorHAnsi"/>
                <w:color w:val="auto"/>
                <w:sz w:val="20"/>
                <w:szCs w:val="20"/>
              </w:rPr>
              <w:fldChar w:fldCharType="begin"/>
            </w:r>
            <w:r w:rsidRPr="00C90523">
              <w:rPr>
                <w:rFonts w:asciiTheme="minorHAnsi" w:hAnsiTheme="minorHAnsi"/>
                <w:color w:val="auto"/>
                <w:sz w:val="20"/>
                <w:szCs w:val="20"/>
              </w:rPr>
              <w:instrText xml:space="preserve"> SEQ Gráfico \* ARABIC </w:instrText>
            </w:r>
            <w:r w:rsidR="00F202BB" w:rsidRPr="00F207D0">
              <w:rPr>
                <w:rFonts w:asciiTheme="minorHAnsi" w:hAnsiTheme="minorHAnsi"/>
                <w:color w:val="auto"/>
                <w:sz w:val="20"/>
                <w:szCs w:val="20"/>
              </w:rPr>
              <w:fldChar w:fldCharType="separate"/>
            </w:r>
            <w:r w:rsidR="00420A7A" w:rsidRPr="00C90523">
              <w:rPr>
                <w:rFonts w:asciiTheme="minorHAnsi" w:hAnsiTheme="minorHAnsi"/>
                <w:noProof/>
                <w:color w:val="auto"/>
                <w:sz w:val="20"/>
                <w:szCs w:val="20"/>
              </w:rPr>
              <w:t>11</w:t>
            </w:r>
            <w:r w:rsidR="00F202BB" w:rsidRPr="00F207D0">
              <w:rPr>
                <w:rFonts w:asciiTheme="minorHAnsi" w:hAnsiTheme="minorHAnsi"/>
                <w:color w:val="auto"/>
                <w:sz w:val="20"/>
                <w:szCs w:val="20"/>
              </w:rPr>
              <w:fldChar w:fldCharType="end"/>
            </w:r>
            <w:r w:rsidRPr="00C90523">
              <w:rPr>
                <w:rFonts w:asciiTheme="minorHAnsi" w:hAnsiTheme="minorHAnsi"/>
                <w:color w:val="auto"/>
                <w:sz w:val="20"/>
                <w:szCs w:val="20"/>
              </w:rPr>
              <w:t xml:space="preserve"> - Tempo médio semanal dedicado ao trabalho não remunerado (horas:minutos) por nível de conforto do agregado e por sexo</w:t>
            </w:r>
          </w:p>
        </w:tc>
        <w:tc>
          <w:tcPr>
            <w:tcW w:w="4322" w:type="dxa"/>
            <w:shd w:val="clear" w:color="auto" w:fill="F2DBDB" w:themeFill="accent2" w:themeFillTint="33"/>
          </w:tcPr>
          <w:p w:rsidR="004F127D" w:rsidRPr="00C90523" w:rsidRDefault="006568A3" w:rsidP="000079EB">
            <w:pPr>
              <w:pStyle w:val="Legenda"/>
              <w:rPr>
                <w:rFonts w:asciiTheme="minorHAnsi" w:hAnsiTheme="minorHAnsi"/>
                <w:color w:val="auto"/>
                <w:sz w:val="20"/>
                <w:szCs w:val="20"/>
              </w:rPr>
            </w:pPr>
            <w:r w:rsidRPr="006568A3">
              <w:rPr>
                <w:rFonts w:asciiTheme="minorHAnsi" w:hAnsiTheme="minorHAnsi"/>
                <w:color w:val="auto"/>
                <w:sz w:val="20"/>
                <w:szCs w:val="20"/>
              </w:rPr>
              <w:t>Gráfico 1.</w:t>
            </w:r>
            <w:r w:rsidR="00F202BB" w:rsidRPr="00C90523">
              <w:rPr>
                <w:rFonts w:asciiTheme="minorHAnsi" w:hAnsiTheme="minorHAnsi"/>
                <w:color w:val="auto"/>
                <w:sz w:val="20"/>
                <w:szCs w:val="20"/>
              </w:rPr>
              <w:fldChar w:fldCharType="begin"/>
            </w:r>
            <w:r w:rsidRPr="006568A3">
              <w:rPr>
                <w:rFonts w:asciiTheme="minorHAnsi" w:hAnsiTheme="minorHAnsi"/>
                <w:color w:val="auto"/>
                <w:sz w:val="20"/>
                <w:szCs w:val="20"/>
              </w:rPr>
              <w:instrText xml:space="preserve"> SEQ Gráfico \* ARABIC </w:instrText>
            </w:r>
            <w:r w:rsidR="00F202BB" w:rsidRPr="00C90523">
              <w:rPr>
                <w:rFonts w:asciiTheme="minorHAnsi" w:hAnsiTheme="minorHAnsi"/>
                <w:color w:val="auto"/>
                <w:sz w:val="20"/>
                <w:szCs w:val="20"/>
              </w:rPr>
              <w:fldChar w:fldCharType="separate"/>
            </w:r>
            <w:r w:rsidRPr="006568A3">
              <w:rPr>
                <w:rFonts w:asciiTheme="minorHAnsi" w:hAnsiTheme="minorHAnsi"/>
                <w:noProof/>
                <w:color w:val="auto"/>
                <w:sz w:val="20"/>
                <w:szCs w:val="20"/>
              </w:rPr>
              <w:t>12</w:t>
            </w:r>
            <w:r w:rsidR="00F202BB" w:rsidRPr="00C90523">
              <w:rPr>
                <w:rFonts w:asciiTheme="minorHAnsi" w:hAnsiTheme="minorHAnsi"/>
                <w:color w:val="auto"/>
                <w:sz w:val="20"/>
                <w:szCs w:val="20"/>
              </w:rPr>
              <w:fldChar w:fldCharType="end"/>
            </w:r>
            <w:r w:rsidRPr="006568A3">
              <w:rPr>
                <w:rFonts w:asciiTheme="minorHAnsi" w:hAnsiTheme="minorHAnsi"/>
                <w:color w:val="auto"/>
                <w:sz w:val="20"/>
                <w:szCs w:val="20"/>
              </w:rPr>
              <w:t xml:space="preserve"> - Tempo médio semanal dedicado a actividades domésticas/cuidados segundo o Nº crianças no agregado e por sexo</w:t>
            </w:r>
          </w:p>
        </w:tc>
      </w:tr>
      <w:tr w:rsidR="004F127D" w:rsidRPr="00C90523" w:rsidTr="000079EB">
        <w:tblPrEx>
          <w:tblCellMar>
            <w:left w:w="70" w:type="dxa"/>
            <w:right w:w="70" w:type="dxa"/>
          </w:tblCellMar>
        </w:tblPrEx>
        <w:tc>
          <w:tcPr>
            <w:tcW w:w="4322" w:type="dxa"/>
          </w:tcPr>
          <w:p w:rsidR="004F127D" w:rsidRPr="00C90523" w:rsidRDefault="004F127D" w:rsidP="000079EB">
            <w:pPr>
              <w:jc w:val="center"/>
            </w:pPr>
            <w:r w:rsidRPr="00C90523">
              <w:rPr>
                <w:noProof/>
              </w:rPr>
              <w:drawing>
                <wp:inline distT="0" distB="0" distL="0" distR="0">
                  <wp:extent cx="2422252" cy="1653187"/>
                  <wp:effectExtent l="0" t="0" r="16510" b="2349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322" w:type="dxa"/>
          </w:tcPr>
          <w:p w:rsidR="004F127D" w:rsidRPr="00C90523" w:rsidRDefault="004F127D" w:rsidP="000079EB">
            <w:pPr>
              <w:keepNext/>
              <w:jc w:val="both"/>
            </w:pPr>
            <w:r w:rsidRPr="00C90523">
              <w:rPr>
                <w:noProof/>
              </w:rPr>
              <w:drawing>
                <wp:inline distT="0" distB="0" distL="0" distR="0">
                  <wp:extent cx="2597865" cy="1707688"/>
                  <wp:effectExtent l="0" t="0" r="12065" b="2603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4F127D" w:rsidRPr="00C90523" w:rsidRDefault="004F127D" w:rsidP="000079EB">
      <w:pPr>
        <w:spacing w:after="0"/>
        <w:jc w:val="center"/>
        <w:rPr>
          <w:sz w:val="20"/>
          <w:szCs w:val="20"/>
        </w:rPr>
      </w:pPr>
      <w:r w:rsidRPr="00C90523">
        <w:rPr>
          <w:b/>
          <w:sz w:val="20"/>
          <w:szCs w:val="20"/>
        </w:rPr>
        <w:t xml:space="preserve">Fonte: </w:t>
      </w:r>
      <w:r w:rsidRPr="00C90523">
        <w:rPr>
          <w:sz w:val="20"/>
          <w:szCs w:val="20"/>
        </w:rPr>
        <w:t>INE (2012) Modulo sobre Uso do Tempo, IMC</w:t>
      </w:r>
    </w:p>
    <w:p w:rsidR="004F127D" w:rsidRPr="00C90523" w:rsidRDefault="004F127D" w:rsidP="000079EB">
      <w:pPr>
        <w:spacing w:after="0"/>
        <w:jc w:val="both"/>
      </w:pPr>
    </w:p>
    <w:p w:rsidR="004F127D" w:rsidRPr="00C90523" w:rsidRDefault="004F127D" w:rsidP="000079EB">
      <w:pPr>
        <w:spacing w:after="0"/>
        <w:jc w:val="both"/>
        <w:rPr>
          <w:bCs/>
        </w:rPr>
      </w:pPr>
      <w:r w:rsidRPr="00C90523">
        <w:t xml:space="preserve">Estes dados permitem dar visibilidade à enorme contribuição do trabalho não remunerado das mulheres para a economia cabo-verdiana; com efeito, para além de gerar bem-estar familiar e social, sem este trabalho não haveria condições, para os diferentes membros da família, de ingresso e frequência da escola/formação/universidade, ou de ingresso e permanência no mercado laboral, ou seja, cria as condições de sustentabilidade do sistema económico no seu conjunto. Contudo verifica-se no dia-a-dia que este trabalho não remunerado, que permite a </w:t>
      </w:r>
      <w:r w:rsidRPr="00C90523">
        <w:rPr>
          <w:bCs/>
        </w:rPr>
        <w:t xml:space="preserve">reprodução da vida e da força activa da população, não é reconhecido como responsabilidade social partilhada por todos e é vista como responsabilidade quase exclusiva das mulheres. </w:t>
      </w:r>
    </w:p>
    <w:p w:rsidR="004F127D" w:rsidRPr="00C90523" w:rsidRDefault="004F127D" w:rsidP="000079EB">
      <w:pPr>
        <w:spacing w:after="0"/>
        <w:jc w:val="both"/>
        <w:rPr>
          <w:bCs/>
        </w:rPr>
      </w:pPr>
    </w:p>
    <w:p w:rsidR="004F127D" w:rsidRPr="00C90523" w:rsidRDefault="004F127D" w:rsidP="000079EB">
      <w:pPr>
        <w:spacing w:after="0"/>
        <w:jc w:val="both"/>
      </w:pPr>
      <w:r w:rsidRPr="00C90523">
        <w:t xml:space="preserve">Em termos da esfera privada, verifica-se que as responsabilidades domésticas e familiares em Cabo verde continuam a ser um espaço atribuído essencialmente às mulheres, o que implica investimentos substanciais de tempo e esforço: os dados do Inquérito sobre Uso do Tempo (2012) mostram que cerca de 82% da população de 10 anos ou mais realiza trabalho não remunerado (TNR), dedicando-lhe em média quase 1/3 do seu tempo semanal, o que no caso das mulheres corresponde a cerca de 63 horas médias semanais, e dos homens cerca de 38 horas médias semanais, uma diferença de cerca de 24 horas médias semanais a menos do que as mulheres. As diferenças são particularmente vincadas no caso dos trabalhos domésticos e dos trabalhos de cuidados (às crianças, idosos e dependentes). </w:t>
      </w:r>
    </w:p>
    <w:p w:rsidR="004F127D" w:rsidRPr="00C90523" w:rsidRDefault="004F127D" w:rsidP="000079EB">
      <w:pPr>
        <w:spacing w:after="0"/>
        <w:jc w:val="both"/>
      </w:pPr>
    </w:p>
    <w:p w:rsidR="00C77BE6" w:rsidRDefault="00C77BE6">
      <w:pPr>
        <w:rPr>
          <w:rFonts w:cs="Times New Roman"/>
          <w:b/>
          <w:bCs/>
          <w:sz w:val="20"/>
          <w:szCs w:val="20"/>
          <w:lang w:eastAsia="es-EC"/>
        </w:rPr>
      </w:pPr>
      <w:r>
        <w:rPr>
          <w:sz w:val="20"/>
          <w:szCs w:val="20"/>
        </w:rPr>
        <w:br w:type="page"/>
      </w:r>
    </w:p>
    <w:p w:rsidR="004F127D" w:rsidRPr="00C90523" w:rsidRDefault="006568A3" w:rsidP="000079EB">
      <w:pPr>
        <w:pStyle w:val="Legenda"/>
        <w:spacing w:after="0"/>
        <w:jc w:val="center"/>
        <w:rPr>
          <w:rFonts w:asciiTheme="minorHAnsi" w:hAnsiTheme="minorHAnsi"/>
          <w:color w:val="auto"/>
          <w:sz w:val="20"/>
          <w:szCs w:val="20"/>
        </w:rPr>
      </w:pPr>
      <w:r w:rsidRPr="006568A3">
        <w:rPr>
          <w:rFonts w:asciiTheme="minorHAnsi" w:hAnsiTheme="minorHAnsi"/>
          <w:color w:val="auto"/>
          <w:sz w:val="20"/>
          <w:szCs w:val="20"/>
        </w:rPr>
        <w:t>Gráfico 1.</w:t>
      </w:r>
      <w:r w:rsidR="00F202BB" w:rsidRPr="00C90523">
        <w:rPr>
          <w:rFonts w:asciiTheme="minorHAnsi" w:hAnsiTheme="minorHAnsi"/>
          <w:color w:val="auto"/>
          <w:sz w:val="20"/>
          <w:szCs w:val="20"/>
        </w:rPr>
        <w:fldChar w:fldCharType="begin"/>
      </w:r>
      <w:r w:rsidRPr="006568A3">
        <w:rPr>
          <w:rFonts w:asciiTheme="minorHAnsi" w:hAnsiTheme="minorHAnsi"/>
          <w:color w:val="auto"/>
          <w:sz w:val="20"/>
          <w:szCs w:val="20"/>
        </w:rPr>
        <w:instrText xml:space="preserve"> SEQ Gráfico \* ARABIC </w:instrText>
      </w:r>
      <w:r w:rsidR="00F202BB" w:rsidRPr="00C90523">
        <w:rPr>
          <w:rFonts w:asciiTheme="minorHAnsi" w:hAnsiTheme="minorHAnsi"/>
          <w:color w:val="auto"/>
          <w:sz w:val="20"/>
          <w:szCs w:val="20"/>
        </w:rPr>
        <w:fldChar w:fldCharType="separate"/>
      </w:r>
      <w:r w:rsidRPr="006568A3">
        <w:rPr>
          <w:rFonts w:asciiTheme="minorHAnsi" w:hAnsiTheme="minorHAnsi"/>
          <w:noProof/>
          <w:color w:val="auto"/>
          <w:sz w:val="20"/>
          <w:szCs w:val="20"/>
        </w:rPr>
        <w:t>13</w:t>
      </w:r>
      <w:r w:rsidR="00F202BB" w:rsidRPr="00C90523">
        <w:rPr>
          <w:rFonts w:asciiTheme="minorHAnsi" w:hAnsiTheme="minorHAnsi"/>
          <w:color w:val="auto"/>
          <w:sz w:val="20"/>
          <w:szCs w:val="20"/>
        </w:rPr>
        <w:fldChar w:fldCharType="end"/>
      </w:r>
      <w:r w:rsidRPr="006568A3">
        <w:rPr>
          <w:rFonts w:asciiTheme="minorHAnsi" w:hAnsiTheme="minorHAnsi"/>
          <w:color w:val="auto"/>
          <w:sz w:val="20"/>
          <w:szCs w:val="20"/>
        </w:rPr>
        <w:t xml:space="preserve"> - Tempo médio semanal (horas:minutos) dedicado ao trabalho não remunerado </w:t>
      </w:r>
    </w:p>
    <w:p w:rsidR="004F127D" w:rsidRPr="00C90523" w:rsidRDefault="006568A3" w:rsidP="000079EB">
      <w:pPr>
        <w:pStyle w:val="Legenda"/>
        <w:spacing w:after="0"/>
        <w:jc w:val="center"/>
        <w:rPr>
          <w:rFonts w:asciiTheme="minorHAnsi" w:hAnsiTheme="minorHAnsi"/>
          <w:color w:val="auto"/>
          <w:sz w:val="20"/>
          <w:szCs w:val="20"/>
        </w:rPr>
      </w:pPr>
      <w:r w:rsidRPr="006568A3">
        <w:rPr>
          <w:rFonts w:asciiTheme="minorHAnsi" w:hAnsiTheme="minorHAnsi"/>
          <w:color w:val="auto"/>
          <w:sz w:val="20"/>
          <w:szCs w:val="20"/>
        </w:rPr>
        <w:t>por tipo de actividade e por sexo</w:t>
      </w:r>
    </w:p>
    <w:p w:rsidR="004F127D" w:rsidRPr="00C90523" w:rsidRDefault="004F127D" w:rsidP="000079EB">
      <w:pPr>
        <w:spacing w:after="0"/>
        <w:jc w:val="center"/>
      </w:pPr>
      <w:r w:rsidRPr="00C90523">
        <w:rPr>
          <w:noProof/>
        </w:rPr>
        <w:drawing>
          <wp:inline distT="0" distB="0" distL="0" distR="0">
            <wp:extent cx="3942214" cy="1962024"/>
            <wp:effectExtent l="19050" t="0" r="20186" b="126"/>
            <wp:docPr id="14"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F127D" w:rsidRPr="00C90523" w:rsidRDefault="004F127D" w:rsidP="004F127D">
      <w:pPr>
        <w:jc w:val="center"/>
        <w:rPr>
          <w:sz w:val="20"/>
          <w:szCs w:val="20"/>
        </w:rPr>
      </w:pPr>
      <w:r w:rsidRPr="00C90523">
        <w:rPr>
          <w:b/>
          <w:sz w:val="20"/>
          <w:szCs w:val="20"/>
        </w:rPr>
        <w:t xml:space="preserve">Fonte: </w:t>
      </w:r>
      <w:r w:rsidRPr="00C90523">
        <w:rPr>
          <w:sz w:val="20"/>
          <w:szCs w:val="20"/>
        </w:rPr>
        <w:t>INE (2012) Modulo sobre Uso do Tempo, IMC</w:t>
      </w:r>
    </w:p>
    <w:p w:rsidR="004F127D" w:rsidRPr="00C90523" w:rsidRDefault="004F127D" w:rsidP="000079EB">
      <w:pPr>
        <w:spacing w:after="0"/>
        <w:jc w:val="both"/>
        <w:rPr>
          <w:sz w:val="20"/>
          <w:szCs w:val="20"/>
        </w:rPr>
      </w:pPr>
    </w:p>
    <w:p w:rsidR="004F127D" w:rsidRPr="00C90523" w:rsidRDefault="004F127D" w:rsidP="000079EB">
      <w:pPr>
        <w:spacing w:after="0"/>
        <w:jc w:val="both"/>
        <w:rPr>
          <w:color w:val="0070C0"/>
        </w:rPr>
      </w:pPr>
      <w:r w:rsidRPr="00C90523">
        <w:t>O relatório do inquérito refere que: «</w:t>
      </w:r>
      <w:r w:rsidRPr="00C90523">
        <w:rPr>
          <w:i/>
        </w:rPr>
        <w:t>A partir dos 15 anos de idade e ao longo de todo o ciclo de vida, o tempo dedicado pela população feminina ao trabalho não remunerado é quase o dobro do dedicado pela população masculina ao mesmo. A frequência e a intensidade da participação da população fem</w:t>
      </w:r>
      <w:r w:rsidRPr="00861276">
        <w:rPr>
          <w:i/>
        </w:rPr>
        <w:t xml:space="preserve">inina no trabalho invisível não remunerado aumentam constantemente à partir da adolescência e ao longo de todo o seu ciclo de vida. Só diminui a partir dos 65 anos. A frequência e a intensidade da participação da população masculina mantem-se </w:t>
      </w:r>
      <w:r w:rsidRPr="00C90523">
        <w:rPr>
          <w:i/>
        </w:rPr>
        <w:t>praticamente inalterável ao longo do ciclo de vida (constituir família e/ou ter filhos ou filhas não tem grande impacto na sua participação no TNR)</w:t>
      </w:r>
      <w:r w:rsidRPr="00C90523">
        <w:t>»</w:t>
      </w:r>
      <w:r w:rsidRPr="00C90523">
        <w:rPr>
          <w:rStyle w:val="Refdenotaderodap"/>
        </w:rPr>
        <w:footnoteReference w:id="40"/>
      </w:r>
      <w:r w:rsidRPr="00C90523">
        <w:t>.</w:t>
      </w:r>
    </w:p>
    <w:p w:rsidR="004F127D" w:rsidRPr="00861276" w:rsidRDefault="004F127D" w:rsidP="000079EB">
      <w:pPr>
        <w:spacing w:after="0"/>
        <w:jc w:val="both"/>
      </w:pPr>
    </w:p>
    <w:p w:rsidR="004F127D" w:rsidRPr="00C90523" w:rsidRDefault="006568A3" w:rsidP="004F127D">
      <w:pPr>
        <w:pStyle w:val="Default"/>
        <w:spacing w:line="276" w:lineRule="auto"/>
        <w:jc w:val="both"/>
        <w:rPr>
          <w:rFonts w:asciiTheme="minorHAnsi" w:hAnsiTheme="minorHAnsi"/>
          <w:i/>
          <w:color w:val="0070C0"/>
          <w:sz w:val="22"/>
          <w:szCs w:val="22"/>
        </w:rPr>
      </w:pPr>
      <w:r w:rsidRPr="006568A3">
        <w:rPr>
          <w:rFonts w:asciiTheme="minorHAnsi" w:hAnsiTheme="minorHAnsi" w:cs="Times New Roman"/>
          <w:color w:val="auto"/>
          <w:sz w:val="22"/>
          <w:szCs w:val="22"/>
          <w:lang w:eastAsia="es-EC"/>
        </w:rPr>
        <w:t xml:space="preserve">Fica assim claro que as relações de género existentes transferem o grande peso do trabalho não remunerado para as mulheres, e que a pobreza de tempo é um factor material que limita as suas oportunidades de desenvolvimento, quer seja em termos de educação/formação, </w:t>
      </w:r>
      <w:r w:rsidRPr="006568A3">
        <w:rPr>
          <w:rFonts w:asciiTheme="minorHAnsi" w:hAnsiTheme="minorHAnsi"/>
          <w:sz w:val="22"/>
          <w:szCs w:val="22"/>
        </w:rPr>
        <w:t>desenvolvimento de capacidades,</w:t>
      </w:r>
      <w:r w:rsidRPr="006568A3">
        <w:rPr>
          <w:rFonts w:asciiTheme="minorHAnsi" w:hAnsiTheme="minorHAnsi" w:cs="Times New Roman"/>
          <w:color w:val="auto"/>
          <w:sz w:val="22"/>
          <w:szCs w:val="22"/>
          <w:lang w:eastAsia="es-EC"/>
        </w:rPr>
        <w:t xml:space="preserve"> ou participação na vida pública de forma geral. Por outro lado, </w:t>
      </w:r>
      <w:r w:rsidRPr="006568A3">
        <w:rPr>
          <w:rFonts w:asciiTheme="minorHAnsi" w:hAnsiTheme="minorHAnsi"/>
          <w:sz w:val="22"/>
          <w:szCs w:val="22"/>
        </w:rPr>
        <w:t xml:space="preserve">espelham a ideologia que, à luz do patriarcado, remete as mulheres para o espaço doméstico e os homens para o espaço público, e, como referido no relatório de avaliação/actualização do PNIEG </w:t>
      </w:r>
      <w:r w:rsidRPr="006568A3">
        <w:rPr>
          <w:rFonts w:asciiTheme="minorHAnsi" w:hAnsiTheme="minorHAnsi"/>
          <w:i/>
          <w:sz w:val="22"/>
          <w:szCs w:val="22"/>
        </w:rPr>
        <w:t>«</w:t>
      </w:r>
      <w:r w:rsidRPr="006568A3">
        <w:rPr>
          <w:rFonts w:asciiTheme="minorHAnsi" w:hAnsiTheme="minorHAnsi"/>
          <w:i/>
          <w:color w:val="auto"/>
          <w:sz w:val="22"/>
          <w:szCs w:val="22"/>
        </w:rPr>
        <w:t>determinam que as mulheres tenham um exíguo espaço de decisão e de controlo sobre a organização do seu quotidiano e a distribuição do seu tempo»</w:t>
      </w:r>
      <w:r w:rsidR="004F127D" w:rsidRPr="00C90523">
        <w:rPr>
          <w:rStyle w:val="Refdenotaderodap"/>
          <w:rFonts w:asciiTheme="minorHAnsi" w:hAnsiTheme="minorHAnsi"/>
          <w:i/>
          <w:color w:val="auto"/>
          <w:sz w:val="22"/>
          <w:szCs w:val="22"/>
        </w:rPr>
        <w:footnoteReference w:id="41"/>
      </w:r>
      <w:r w:rsidRPr="006568A3">
        <w:rPr>
          <w:rFonts w:asciiTheme="minorHAnsi" w:hAnsiTheme="minorHAnsi"/>
          <w:i/>
          <w:color w:val="auto"/>
          <w:sz w:val="22"/>
          <w:szCs w:val="22"/>
        </w:rPr>
        <w:t xml:space="preserve">. </w:t>
      </w:r>
    </w:p>
    <w:p w:rsidR="004F127D" w:rsidRPr="00C90523" w:rsidRDefault="004F127D" w:rsidP="000079EB">
      <w:pPr>
        <w:spacing w:after="0"/>
        <w:jc w:val="both"/>
        <w:rPr>
          <w:bCs/>
        </w:rPr>
      </w:pPr>
    </w:p>
    <w:p w:rsidR="004F127D" w:rsidRPr="00C90523" w:rsidRDefault="004F127D" w:rsidP="000079EB">
      <w:pPr>
        <w:spacing w:after="0"/>
        <w:jc w:val="both"/>
        <w:rPr>
          <w:bCs/>
        </w:rPr>
      </w:pPr>
      <w:r w:rsidRPr="00861276">
        <w:rPr>
          <w:bCs/>
        </w:rPr>
        <w:t>A falta de partilha destas responsabilidades entre homens e mulheres, entre o Estado e as famílias, e o sector privado, limita grandemente as oportunidades de desenvolvim</w:t>
      </w:r>
      <w:r w:rsidRPr="00C90523">
        <w:rPr>
          <w:bCs/>
        </w:rPr>
        <w:t>ento das mulheres, quer seja em termos de educação/formação, acesso ao mundo laboral ou participação na vida pública de forma geral. Não podemos esquecer que em Cabo Verde praticamente metade as famílias são chefiadas por mulheres, que na sua grande maioria acumulam as funções de provedora e educadora única dos filhos. Neste contexto é preocupante a pobreza de tempo que afecta as mulheres, em particular as mais pobres e com menor grau de educação, situação que deixa vislumbrar o efeito amplificador da pobreza sobre a igualdade de género, bem como os mecanismos subjacentes à reprodução do ciclo da pobreza.</w:t>
      </w:r>
    </w:p>
    <w:p w:rsidR="004F127D" w:rsidRPr="00C90523" w:rsidRDefault="004F127D" w:rsidP="000079EB">
      <w:pPr>
        <w:spacing w:after="0"/>
        <w:jc w:val="both"/>
        <w:rPr>
          <w:bCs/>
        </w:rPr>
      </w:pPr>
    </w:p>
    <w:p w:rsidR="004F127D" w:rsidRPr="00C90523" w:rsidRDefault="006568A3" w:rsidP="00E60FC4">
      <w:pPr>
        <w:pStyle w:val="Cabealho3"/>
      </w:pPr>
      <w:bookmarkStart w:id="53" w:name="_Toc402442233"/>
      <w:bookmarkStart w:id="54" w:name="_Toc406667285"/>
      <w:r w:rsidRPr="006568A3">
        <w:t>1.2.7. Principais indicadores relacionados com a participação política e nas esferas de tomada de decisão.</w:t>
      </w:r>
      <w:bookmarkEnd w:id="53"/>
      <w:bookmarkEnd w:id="54"/>
    </w:p>
    <w:p w:rsidR="004F127D" w:rsidRPr="00C90523" w:rsidRDefault="004F127D" w:rsidP="000079EB">
      <w:pPr>
        <w:spacing w:after="0"/>
      </w:pPr>
    </w:p>
    <w:p w:rsidR="004F127D" w:rsidRDefault="004F127D" w:rsidP="00C77BE6">
      <w:pPr>
        <w:autoSpaceDE w:val="0"/>
        <w:autoSpaceDN w:val="0"/>
        <w:adjustRightInd w:val="0"/>
        <w:spacing w:after="0"/>
        <w:jc w:val="both"/>
      </w:pPr>
      <w:r w:rsidRPr="00861276">
        <w:t>Em termos de representação das mulheres na pol</w:t>
      </w:r>
      <w:r w:rsidRPr="00C90523">
        <w:t>ítica, Cabo Verde foi, em 2006, o segundo país do mundo a ter um Governo paritário, situação que se mantem até à presente data: actualmente as mulheres ocupam 8 das 16 pastas ministeriais existentes.</w:t>
      </w:r>
      <w:r w:rsidRPr="00C90523">
        <w:rPr>
          <w:rStyle w:val="Refdenotaderodap"/>
        </w:rPr>
        <w:footnoteReference w:id="42"/>
      </w:r>
      <w:r w:rsidRPr="00C90523">
        <w:t xml:space="preserve"> Contudo, em termos de paridade em cargos electivos, os progressos têm sido modestos, quer no poder legislativo, quer no poder autárquico, e a presença das mulheres mantem-se inferior a 1/5: a proporção de deputadas no Parlamento é de 21% (2011), quando era de 15,3% nas eleições legislativas anteriores (2006). Nas eleições autárquicas de 2012, a proporção de mulheres eleitas nos órgãos de poder local é de 22%, um ponto percentual acima da proporção de mulheres no parlamento, mas representando uma estagnação em relação às eleições autárquicas de 2008. Apenas 1 mulher é Presidente de Câmara, de um total de 22 municípios.</w:t>
      </w:r>
    </w:p>
    <w:p w:rsidR="00C77BE6" w:rsidRPr="00C90523" w:rsidRDefault="00C77BE6" w:rsidP="00C77BE6">
      <w:pPr>
        <w:autoSpaceDE w:val="0"/>
        <w:autoSpaceDN w:val="0"/>
        <w:adjustRightInd w:val="0"/>
        <w:spacing w:after="0"/>
        <w:jc w:val="both"/>
      </w:pPr>
    </w:p>
    <w:p w:rsidR="004F127D" w:rsidRPr="00C90523" w:rsidRDefault="006568A3" w:rsidP="004F127D">
      <w:pPr>
        <w:pStyle w:val="Legenda"/>
        <w:spacing w:after="0"/>
        <w:jc w:val="center"/>
        <w:rPr>
          <w:rFonts w:asciiTheme="minorHAnsi" w:hAnsiTheme="minorHAnsi"/>
          <w:color w:val="auto"/>
          <w:sz w:val="20"/>
          <w:szCs w:val="20"/>
        </w:rPr>
      </w:pPr>
      <w:r w:rsidRPr="006568A3">
        <w:rPr>
          <w:rFonts w:asciiTheme="minorHAnsi" w:hAnsiTheme="minorHAnsi"/>
          <w:color w:val="auto"/>
          <w:sz w:val="20"/>
          <w:szCs w:val="20"/>
        </w:rPr>
        <w:t>Gráfico 1.</w:t>
      </w:r>
      <w:r w:rsidR="00F202BB" w:rsidRPr="00C90523">
        <w:rPr>
          <w:rFonts w:asciiTheme="minorHAnsi" w:hAnsiTheme="minorHAnsi"/>
          <w:color w:val="auto"/>
          <w:sz w:val="20"/>
          <w:szCs w:val="20"/>
        </w:rPr>
        <w:fldChar w:fldCharType="begin"/>
      </w:r>
      <w:r w:rsidRPr="006568A3">
        <w:rPr>
          <w:rFonts w:asciiTheme="minorHAnsi" w:hAnsiTheme="minorHAnsi"/>
          <w:color w:val="auto"/>
          <w:sz w:val="20"/>
          <w:szCs w:val="20"/>
        </w:rPr>
        <w:instrText xml:space="preserve"> SEQ Gráfico \* ARABIC </w:instrText>
      </w:r>
      <w:r w:rsidR="00F202BB" w:rsidRPr="00C90523">
        <w:rPr>
          <w:rFonts w:asciiTheme="minorHAnsi" w:hAnsiTheme="minorHAnsi"/>
          <w:color w:val="auto"/>
          <w:sz w:val="20"/>
          <w:szCs w:val="20"/>
        </w:rPr>
        <w:fldChar w:fldCharType="separate"/>
      </w:r>
      <w:r w:rsidRPr="006568A3">
        <w:rPr>
          <w:rFonts w:asciiTheme="minorHAnsi" w:hAnsiTheme="minorHAnsi"/>
          <w:noProof/>
          <w:color w:val="auto"/>
          <w:sz w:val="20"/>
          <w:szCs w:val="20"/>
        </w:rPr>
        <w:t>14</w:t>
      </w:r>
      <w:r w:rsidR="00F202BB" w:rsidRPr="00C90523">
        <w:rPr>
          <w:rFonts w:asciiTheme="minorHAnsi" w:hAnsiTheme="minorHAnsi"/>
          <w:color w:val="auto"/>
          <w:sz w:val="20"/>
          <w:szCs w:val="20"/>
        </w:rPr>
        <w:fldChar w:fldCharType="end"/>
      </w:r>
      <w:r w:rsidRPr="006568A3">
        <w:rPr>
          <w:rFonts w:asciiTheme="minorHAnsi" w:hAnsiTheme="minorHAnsi"/>
          <w:color w:val="auto"/>
          <w:sz w:val="20"/>
          <w:szCs w:val="20"/>
        </w:rPr>
        <w:t xml:space="preserve"> - </w:t>
      </w:r>
      <w:r w:rsidRPr="006568A3">
        <w:rPr>
          <w:rFonts w:asciiTheme="minorHAnsi" w:hAnsiTheme="minorHAnsi" w:cs="Arial"/>
          <w:color w:val="auto"/>
          <w:sz w:val="20"/>
          <w:szCs w:val="20"/>
        </w:rPr>
        <w:t>Evolução da representação das mulheres no Parlamento (1991-2011)</w:t>
      </w:r>
    </w:p>
    <w:p w:rsidR="00313BA1" w:rsidRPr="00C90523" w:rsidRDefault="004F127D" w:rsidP="00313BA1">
      <w:pPr>
        <w:autoSpaceDE w:val="0"/>
        <w:autoSpaceDN w:val="0"/>
        <w:adjustRightInd w:val="0"/>
        <w:spacing w:after="0"/>
        <w:jc w:val="center"/>
        <w:rPr>
          <w:b/>
          <w:bCs/>
          <w:sz w:val="20"/>
          <w:szCs w:val="20"/>
        </w:rPr>
      </w:pPr>
      <w:r w:rsidRPr="00C90523">
        <w:rPr>
          <w:rFonts w:eastAsia="Times New Roman" w:cs="Arial"/>
          <w:noProof/>
          <w:color w:val="000000"/>
          <w:sz w:val="20"/>
          <w:szCs w:val="20"/>
        </w:rPr>
        <w:drawing>
          <wp:inline distT="0" distB="0" distL="0" distR="0">
            <wp:extent cx="3094427" cy="1289849"/>
            <wp:effectExtent l="0" t="0" r="10795" b="24765"/>
            <wp:docPr id="15"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F127D" w:rsidRPr="00C90523" w:rsidRDefault="006568A3" w:rsidP="00313BA1">
      <w:pPr>
        <w:autoSpaceDE w:val="0"/>
        <w:autoSpaceDN w:val="0"/>
        <w:adjustRightInd w:val="0"/>
        <w:spacing w:after="0"/>
        <w:ind w:firstLine="1843"/>
        <w:rPr>
          <w:bCs/>
          <w:sz w:val="20"/>
          <w:szCs w:val="20"/>
        </w:rPr>
      </w:pPr>
      <w:r w:rsidRPr="006568A3">
        <w:rPr>
          <w:b/>
          <w:bCs/>
          <w:sz w:val="20"/>
          <w:szCs w:val="20"/>
        </w:rPr>
        <w:t xml:space="preserve">FONTE: </w:t>
      </w:r>
      <w:r w:rsidRPr="006568A3">
        <w:rPr>
          <w:bCs/>
          <w:sz w:val="20"/>
          <w:szCs w:val="20"/>
        </w:rPr>
        <w:t>Dados da CNE</w:t>
      </w:r>
    </w:p>
    <w:p w:rsidR="004F127D" w:rsidRPr="00C90523" w:rsidRDefault="004F127D" w:rsidP="00313BA1">
      <w:pPr>
        <w:spacing w:after="0"/>
        <w:jc w:val="both"/>
      </w:pPr>
    </w:p>
    <w:p w:rsidR="004F127D" w:rsidRPr="00C90523" w:rsidRDefault="004F127D" w:rsidP="00313BA1">
      <w:pPr>
        <w:spacing w:after="0"/>
        <w:jc w:val="both"/>
      </w:pPr>
      <w:r w:rsidRPr="00C90523">
        <w:t>A proporção de mulheres no Supremo Tribunal de Justiça é de 20% e, entre os magistrados, a sua representação tem variado entre 35% e 37% no período de 2009 a 2013. Na Administração Pública, as mulheres detêm 35% dos cargos de liderança. Na comunicação social, o Sindicato dos Jornalistas conta com 3 mulheres do total de 5 membros do C</w:t>
      </w:r>
      <w:r w:rsidRPr="00861276">
        <w:t xml:space="preserve">onselho de Administração da AJOC, incluindo a Presidente e na INFOPRESS, a Agência Cabo-verdiana de Notícias, a gestora executiva e directora de informação são mulheres). Na imprensa escrita, 1 dos 3 jornais de tiragem nacional é dirigido por </w:t>
      </w:r>
      <w:r w:rsidRPr="00C90523">
        <w:t xml:space="preserve">uma mulher (A Semana). As mulheres representarem 51% das jornalistas e editoras dos principais órgãos de comunicação em Cabo Verde, e 36% dos cargos de chefia destes mesmos órgãos. </w:t>
      </w:r>
    </w:p>
    <w:p w:rsidR="004F127D" w:rsidRPr="00C90523" w:rsidRDefault="004F127D" w:rsidP="00313BA1">
      <w:pPr>
        <w:spacing w:after="0"/>
        <w:jc w:val="both"/>
      </w:pPr>
    </w:p>
    <w:p w:rsidR="004F127D" w:rsidRPr="00C90523" w:rsidRDefault="004F127D" w:rsidP="00313BA1">
      <w:pPr>
        <w:spacing w:after="0"/>
        <w:jc w:val="both"/>
      </w:pPr>
      <w:r w:rsidRPr="00C90523">
        <w:t xml:space="preserve">Apesar da progressiva incorporação das mulheres em todos os âmbitos actividade pública - política, científica, económico, cultural, social, os dados mostram que continua a ser essencial fortalecer o acesso e a participação das mulheres na definição e decisão sobre políticas públicas. Os mecanismos para garantir a representatividade feminina na vida política e nos órgãos de decisão continuam a ser insuficientes, e verifica-se que persiste desconhecimento, entre os vários intervenientes no processo político, mulheres e homens, quanto aos instrumentos que a nível internacional têm sido utilizados para promover o aumento da participação política das mulheres, bem como das relações sociais de género que justificam o reforço da actuação neste campo. </w:t>
      </w:r>
    </w:p>
    <w:p w:rsidR="004F127D" w:rsidRPr="00C90523" w:rsidRDefault="004F127D" w:rsidP="00313BA1">
      <w:pPr>
        <w:spacing w:after="0"/>
        <w:jc w:val="both"/>
        <w:rPr>
          <w:rFonts w:eastAsia="Times New Roman"/>
          <w:color w:val="FF0000"/>
        </w:rPr>
      </w:pPr>
    </w:p>
    <w:p w:rsidR="004F127D" w:rsidRPr="00C90523" w:rsidRDefault="00313BA1" w:rsidP="00E60FC4">
      <w:pPr>
        <w:pStyle w:val="Cabealho1"/>
        <w:jc w:val="both"/>
        <w:rPr>
          <w:rFonts w:asciiTheme="minorHAnsi" w:hAnsiTheme="minorHAnsi"/>
        </w:rPr>
      </w:pPr>
      <w:r w:rsidRPr="00C90523">
        <w:rPr>
          <w:rFonts w:eastAsia="Times New Roman"/>
          <w:color w:val="FF0000"/>
        </w:rPr>
        <w:br w:type="page"/>
      </w:r>
      <w:bookmarkStart w:id="55" w:name="_Toc402442234"/>
      <w:bookmarkStart w:id="56" w:name="_Toc406667286"/>
      <w:r w:rsidR="00E60FC4" w:rsidRPr="00C90523">
        <w:rPr>
          <w:rFonts w:asciiTheme="minorHAnsi" w:hAnsiTheme="minorHAnsi"/>
        </w:rPr>
        <w:t xml:space="preserve">2. </w:t>
      </w:r>
      <w:r w:rsidR="004F127D" w:rsidRPr="00C90523">
        <w:rPr>
          <w:rFonts w:asciiTheme="minorHAnsi" w:hAnsiTheme="minorHAnsi"/>
        </w:rPr>
        <w:t>GRAU DE PRIORIZAÇÃO DE GÉNERO NA PROGRAMAÇÃO ESTRATÉGICA NACIONAL</w:t>
      </w:r>
      <w:bookmarkEnd w:id="55"/>
      <w:bookmarkEnd w:id="56"/>
      <w:r w:rsidR="004F127D" w:rsidRPr="00C90523">
        <w:rPr>
          <w:rFonts w:asciiTheme="minorHAnsi" w:hAnsiTheme="minorHAnsi"/>
        </w:rPr>
        <w:t xml:space="preserve"> </w:t>
      </w:r>
    </w:p>
    <w:p w:rsidR="004F127D" w:rsidRPr="00C90523" w:rsidRDefault="004F127D" w:rsidP="00E60FC4">
      <w:pPr>
        <w:pStyle w:val="Cabealho2"/>
      </w:pPr>
      <w:bookmarkStart w:id="57" w:name="_Toc402442235"/>
      <w:bookmarkStart w:id="58" w:name="_Toc406667287"/>
      <w:r w:rsidRPr="00C90523">
        <w:t>2.1</w:t>
      </w:r>
      <w:r w:rsidR="00E60FC4" w:rsidRPr="00C90523">
        <w:t>.</w:t>
      </w:r>
      <w:r w:rsidRPr="00C90523">
        <w:t xml:space="preserve"> O QUADRO JURÍDICO-LEGAL NACIONAL E INTERNACIONAL RELATIVO À IGUALDADE DE GÉNERO</w:t>
      </w:r>
      <w:bookmarkEnd w:id="57"/>
      <w:bookmarkEnd w:id="58"/>
    </w:p>
    <w:p w:rsidR="004F127D" w:rsidRPr="00C90523" w:rsidRDefault="006568A3" w:rsidP="00E60FC4">
      <w:pPr>
        <w:pStyle w:val="Cabealho3"/>
      </w:pPr>
      <w:bookmarkStart w:id="59" w:name="_Toc402442236"/>
      <w:bookmarkStart w:id="60" w:name="_Toc406667288"/>
      <w:r w:rsidRPr="006568A3">
        <w:t>2.1.1. As recomendações a nível mundial e regional</w:t>
      </w:r>
      <w:bookmarkEnd w:id="59"/>
      <w:bookmarkEnd w:id="60"/>
    </w:p>
    <w:p w:rsidR="004F127D" w:rsidRPr="00C90523" w:rsidRDefault="004F127D" w:rsidP="00313BA1">
      <w:pPr>
        <w:autoSpaceDE w:val="0"/>
        <w:autoSpaceDN w:val="0"/>
        <w:adjustRightInd w:val="0"/>
        <w:spacing w:after="0"/>
        <w:jc w:val="both"/>
      </w:pPr>
    </w:p>
    <w:p w:rsidR="004F127D" w:rsidRPr="00C90523" w:rsidRDefault="004F127D" w:rsidP="00313BA1">
      <w:pPr>
        <w:autoSpaceDE w:val="0"/>
        <w:autoSpaceDN w:val="0"/>
        <w:adjustRightInd w:val="0"/>
        <w:spacing w:after="0"/>
        <w:jc w:val="both"/>
      </w:pPr>
      <w:r w:rsidRPr="00861276">
        <w:t>Os compromissos internacionais com a igualdade de género são explicitados nos principais instrumentos de direitos humanos, desde a De</w:t>
      </w:r>
      <w:r w:rsidRPr="00C90523">
        <w:t>claração Universal dos Direitos Humanos às Convenções e Pactos que se lhe seguiram desde 1948. Compromissos que decorrem do princípio fundamental de que todos os seres humanos nascem livres e iguais em dignidade e direitos, da igualdade de direitos entre mulheres e homens e da proibição da discriminação em razão do sexo. Enquanto instrumentos legais vinculativos, consagram a responsabilidade dos Estados parte em respeitar, proteger e promover os direitos humanos das mulheres. Particularmente relevante entre os instrumentos internacionais, a CEDAW – Convenção para a Eliminação de todas as Formas de Descriminação Contra as Mulheres, adoptada pela Assembleia Geral das Nações Unidas em 1979, que circunscreve o que constitui discriminação contra as mulheres e define uma agenda para acção a nível dos países, no sentido de eliminar esta discriminação. Cobre em particular as dimensões de direitos civis e estatuto legal das mulheres, seus direitos sexuais e reprodutivos, realçando o impacto que a cultura e tradição têm nos papéis de género e relações na família.</w:t>
      </w:r>
    </w:p>
    <w:p w:rsidR="004F127D" w:rsidRPr="00C90523" w:rsidRDefault="004F127D" w:rsidP="00313BA1">
      <w:pPr>
        <w:autoSpaceDE w:val="0"/>
        <w:autoSpaceDN w:val="0"/>
        <w:adjustRightInd w:val="0"/>
        <w:spacing w:after="0"/>
        <w:jc w:val="both"/>
      </w:pPr>
    </w:p>
    <w:p w:rsidR="004F127D" w:rsidRPr="00861276" w:rsidRDefault="004F127D" w:rsidP="00313BA1">
      <w:pPr>
        <w:autoSpaceDE w:val="0"/>
        <w:autoSpaceDN w:val="0"/>
        <w:adjustRightInd w:val="0"/>
        <w:spacing w:after="0"/>
        <w:jc w:val="both"/>
      </w:pPr>
      <w:r w:rsidRPr="00C90523">
        <w:rPr>
          <w:rFonts w:cs="TheSansLight-Plain"/>
        </w:rPr>
        <w:t xml:space="preserve">De entre outros compromissos internacionais fundamentais para a plena realização dos direitos das mulheres, destacam-se o </w:t>
      </w:r>
      <w:r w:rsidRPr="00C90523">
        <w:t>Plano de Acção saído da Conferência Internacional sobre População e Desenvolvimento de 1994 (CIPD); e a Declaração e Plataforma de Ação de Beijing, saída da 4ª Conferência Mundial sobre as Mulheres, em 1995, que absorveu os princípios da CIPD e que objectiva remover todos os obstáculos à igualdade de género em todas as esferas da vida pública e privada, baseada na plena e equilibrada partilha da tomada de decisão económica, social, cultural e política. Nesse sentido definiu 12 áreas críticas de intervenção,</w:t>
      </w:r>
      <w:r w:rsidRPr="00C90523">
        <w:rPr>
          <w:rStyle w:val="Refdenotaderodap"/>
        </w:rPr>
        <w:footnoteReference w:id="43"/>
      </w:r>
      <w:r w:rsidRPr="00C90523">
        <w:t xml:space="preserve"> propondo para cada área objectivos estratégicos e medidas. Passados 20 anos da adoção de ambos, po</w:t>
      </w:r>
      <w:r w:rsidRPr="00861276">
        <w:t>r praticamente 180 Estados, estão em curso exercícios de balanço (CIPD+20 e Beijing+20), a nível nacional, regional e global, aos quais também Cabo Verde aderiu.</w:t>
      </w:r>
    </w:p>
    <w:p w:rsidR="004F127D" w:rsidRPr="00C90523" w:rsidRDefault="004F127D" w:rsidP="00313BA1">
      <w:pPr>
        <w:autoSpaceDE w:val="0"/>
        <w:autoSpaceDN w:val="0"/>
        <w:adjustRightInd w:val="0"/>
        <w:spacing w:after="0"/>
        <w:jc w:val="both"/>
      </w:pPr>
    </w:p>
    <w:p w:rsidR="004F127D" w:rsidRPr="00861276" w:rsidRDefault="004F127D" w:rsidP="00313BA1">
      <w:pPr>
        <w:autoSpaceDE w:val="0"/>
        <w:autoSpaceDN w:val="0"/>
        <w:adjustRightInd w:val="0"/>
        <w:spacing w:after="0"/>
        <w:jc w:val="both"/>
      </w:pPr>
      <w:r w:rsidRPr="00C90523">
        <w:t>São ainda referência fundamental as Resoluções 1325, 1820, 1888 e 1889 do Conselho de Segurança das Nações Unidas, que enquadram legalmente e politicamente a participação das mulheres nas negociações de paz, operações humanitárias e de manutenção da paz, reconstrução e governação pós-conflito, bem como a integração de uma abordagem de género nestes domínios; as Convenções da OIT sobre os direitos das trabalhadoras; a Declaração do Milénio (2000), que</w:t>
      </w:r>
      <w:r w:rsidRPr="00C90523">
        <w:rPr>
          <w:rFonts w:cs="TheSansLight-Plain"/>
        </w:rPr>
        <w:t xml:space="preserve"> levou à definição dos 8 Objectivos de Desenvolvimento do Milénio (ODM), a atingir até 2015. A prioridade assignada a nível global à igualdade de género, em consonância com o quadro normativo universal, levou à inclusão de um ODM sobre igualdade de género e empoderamento das mulheres - o ODM 3, bem como à sua integração transversal nos demais ODM, em particular em algumas metas e indicadores. Importância que foi reafirmada recentemente no documento </w:t>
      </w:r>
      <w:r w:rsidRPr="00C90523">
        <w:t>“</w:t>
      </w:r>
      <w:r w:rsidRPr="00C90523">
        <w:rPr>
          <w:i/>
        </w:rPr>
        <w:t>O Futuro que Queremos</w:t>
      </w:r>
      <w:r w:rsidRPr="00C90523">
        <w:t xml:space="preserve">”, </w:t>
      </w:r>
      <w:r w:rsidRPr="00C90523">
        <w:rPr>
          <w:rFonts w:cs="TheSansLight-Plain"/>
        </w:rPr>
        <w:t xml:space="preserve">saído da </w:t>
      </w:r>
      <w:r w:rsidRPr="00C90523">
        <w:t xml:space="preserve">Conferência das Nações Unidas sobre Desenvolvimento Sustentável (Rio+20, 2002) que afirma: </w:t>
      </w:r>
      <w:r w:rsidRPr="00C90523">
        <w:rPr>
          <w:rFonts w:cs="TheSansLight-Plain"/>
        </w:rPr>
        <w:t>“</w:t>
      </w:r>
      <w:r w:rsidRPr="00C90523">
        <w:rPr>
          <w:i/>
        </w:rPr>
        <w:t>Reconhecemos que a igualdade de género e o empoderamento das mulheres são importantes para o desenvolvimento sustentável e o nosso futuro comum. Reafirmamos os nossos compromissos de assegurar às mulheres a igualdade de direitos, acesso e oportunidades de participação e liderança na economia, na sociedade e esfera política</w:t>
      </w:r>
      <w:r w:rsidRPr="00C90523">
        <w:t>.”</w:t>
      </w:r>
      <w:r w:rsidRPr="00C90523">
        <w:rPr>
          <w:rStyle w:val="Refdenotaderodap"/>
        </w:rPr>
        <w:footnoteReference w:id="44"/>
      </w:r>
      <w:r w:rsidRPr="00C90523">
        <w:t xml:space="preserve"> Espera-se que a discussão em curso sobre o pós-2015, e a definição dos Objectivos de Desenvolvimento Sustentáveis (ODS), possam resultar num quadro reforçado de compromisso e prestação de contas em matéria de igualdade de género, que vá além das dimensões estabelecida</w:t>
      </w:r>
      <w:r w:rsidRPr="00861276">
        <w:t xml:space="preserve">s no contexto do ODM 3. </w:t>
      </w:r>
    </w:p>
    <w:p w:rsidR="004F127D" w:rsidRPr="00C90523" w:rsidRDefault="004F127D" w:rsidP="00313BA1">
      <w:pPr>
        <w:spacing w:after="0"/>
        <w:jc w:val="both"/>
      </w:pPr>
    </w:p>
    <w:p w:rsidR="004F127D" w:rsidRPr="00C90523" w:rsidRDefault="004F127D" w:rsidP="00313BA1">
      <w:pPr>
        <w:spacing w:after="0"/>
        <w:jc w:val="both"/>
      </w:pPr>
      <w:r w:rsidRPr="00C90523">
        <w:t xml:space="preserve">Progressivamente, a nível do continente Africano e da sub-região oeste africana (CEDEAO), têm sido assumidos acordos em matéria de género: a União Africana (UA) refere no seu Acto Constitutivo o princípio da promoção da igualdade de género e tem accionado medidas para assegurar a participação das mulheres em cargos de liderança e tomada de decisão. Em 2012 é eleita uma mulher para o cargo de Presidente da Comissão da União Africana e, em 2013, 6 dos 10 Comissários são mulheres. A AU estabeleceu uma </w:t>
      </w:r>
      <w:r w:rsidRPr="00C90523">
        <w:rPr>
          <w:i/>
        </w:rPr>
        <w:t>Direção de Mulheres, Género e Desenvolvimento</w:t>
      </w:r>
      <w:r w:rsidRPr="00C90523">
        <w:t>, posicionada a alto nível na instituição, com o mandato de integrar transversalmente o género. A Direção tem tido um papel importante no apoio à pesquisa e estatísticas, na visibilidade das questões de género em África e em dar voz às organizações de mulheres. Existem unidades dedicadas de género a nível sub-regional, como é o caso da CEDEAO, que definiu uma política de género para guiar os estados membros da CEDEAO na integração transversal do género. A AU estabeleceu ainda a Nova Parceria para o Desenvolvimento de África (NEPAD), hoje um programa para o desenvolvimento, que tem entre os seus objectivos o reforço das capacidades das mulheres, a fim de promover o seu papel no desenvolvimento económico. Em 2003, é assinado pelos Chefes de Estados Africanos o Protocolo à Carta Africana dos Direitos Humanos e dos Povos, sobre os Direitos das Mulheres (Protocolo de Maputo). Em 2010 a AU lançou a Década das Mulheres Africanas (2010-2020), baseada numa abordagem com enfoque nas comunidades (de baixo para cima), focada na luta contra a pobreza, empoderamento económico e empreendedorismo, agricultura e segurança alimentar, ambiente e mudanças climáticas, finanças e orçamentação sensível ao género, e participação na tomada de decisão.</w:t>
      </w:r>
    </w:p>
    <w:p w:rsidR="004F127D" w:rsidRPr="00C90523" w:rsidRDefault="004F127D" w:rsidP="00313BA1">
      <w:pPr>
        <w:spacing w:after="0"/>
        <w:rPr>
          <w:rFonts w:cs="Arial"/>
          <w:b/>
        </w:rPr>
      </w:pPr>
    </w:p>
    <w:p w:rsidR="004F127D" w:rsidRPr="00C90523" w:rsidRDefault="006568A3" w:rsidP="00E60FC4">
      <w:pPr>
        <w:pStyle w:val="Cabealho3"/>
      </w:pPr>
      <w:bookmarkStart w:id="61" w:name="_Toc402442237"/>
      <w:bookmarkStart w:id="62" w:name="_Toc406667289"/>
      <w:r w:rsidRPr="006568A3">
        <w:t>2.1.2. Compromissos nacionais com a igualdade de género</w:t>
      </w:r>
      <w:bookmarkEnd w:id="61"/>
      <w:bookmarkEnd w:id="62"/>
    </w:p>
    <w:p w:rsidR="00E60FC4" w:rsidRPr="00C90523" w:rsidRDefault="00E60FC4" w:rsidP="00E60FC4">
      <w:pPr>
        <w:spacing w:after="0"/>
        <w:rPr>
          <w:b/>
        </w:rPr>
      </w:pPr>
      <w:bookmarkStart w:id="63" w:name="_Toc402442238"/>
    </w:p>
    <w:p w:rsidR="004F127D" w:rsidRPr="00C90523" w:rsidRDefault="006568A3" w:rsidP="00E60FC4">
      <w:pPr>
        <w:spacing w:after="0"/>
        <w:rPr>
          <w:b/>
        </w:rPr>
      </w:pPr>
      <w:r w:rsidRPr="006568A3">
        <w:rPr>
          <w:b/>
        </w:rPr>
        <w:t>a) Ratificação de convenções e pactos internacionais e regionais</w:t>
      </w:r>
      <w:bookmarkEnd w:id="63"/>
    </w:p>
    <w:p w:rsidR="004F127D" w:rsidRPr="00C90523" w:rsidRDefault="004F127D" w:rsidP="00313BA1">
      <w:pPr>
        <w:spacing w:after="0"/>
        <w:jc w:val="both"/>
      </w:pPr>
    </w:p>
    <w:p w:rsidR="004F127D" w:rsidRPr="00C90523" w:rsidRDefault="004F127D" w:rsidP="00313BA1">
      <w:pPr>
        <w:spacing w:after="0"/>
        <w:jc w:val="both"/>
      </w:pPr>
      <w:r w:rsidRPr="00861276">
        <w:t>Cabo Verde ratificou os principais instrumentos de direitos humanos internacionais e regi</w:t>
      </w:r>
      <w:r w:rsidRPr="00C90523">
        <w:t>onais, que à luz da Constituição de Cabo Verde, se tornam directamente aplicáveis no país. Ratificou a CEDAW em 1980 e o seu Protocolo Facultativo em 2011. Submeteu um primeiro relatório combinado ao Comité CEDAW em 2006 e, de acordo com o calendário estabelecido pelo Comité, o seu 7º e 8º relatório combinado em finais de 2010. Ratificou o Protocolo à Carta Africana dos Direitos Humanos e dos Povos sobre os Direitos das Mulheres em África (Protocolo de Maputo) em 2005. Também assinou a Declaração Solene sobre a Igualdade de Género de Maputo, da UA.</w:t>
      </w:r>
    </w:p>
    <w:p w:rsidR="004F127D" w:rsidRPr="00C90523" w:rsidRDefault="004F127D" w:rsidP="00313BA1">
      <w:pPr>
        <w:spacing w:after="0"/>
        <w:jc w:val="both"/>
      </w:pPr>
    </w:p>
    <w:p w:rsidR="004F127D" w:rsidRPr="00C90523" w:rsidRDefault="004F127D" w:rsidP="00313BA1">
      <w:pPr>
        <w:spacing w:after="0"/>
        <w:jc w:val="both"/>
      </w:pPr>
      <w:r w:rsidRPr="00C90523">
        <w:t xml:space="preserve">Cabo Verde firmou por outro lado Programa de Acção da CIPD, a Declaração e Plataforma de Acção de Beijing e Beijing +5. A revisão periódica destes instrumentos internacionais e submissão dos respectivos relatórios, como no caso da CEDAW, fazem parte do processo de seguimento e avaliação da situação de género no país: a este respeito os mais recentes relatórios de Cabo Verde datam deste ano e do ano passado, respectivamente, os relatórios nacionais Beijing+20 e da CIPD+20. Cabo Verde é ainda signatário da Declaração do Milénio e, desde 2003, vem elaborando relatórios de seguimento do ODM3, que analisam os respectivos indicadores mas também, de forma transversal, o contributo da igualdade de género para os demais ODM. </w:t>
      </w:r>
    </w:p>
    <w:p w:rsidR="004F127D" w:rsidRPr="00C90523" w:rsidRDefault="004F127D" w:rsidP="00313BA1">
      <w:pPr>
        <w:spacing w:after="0"/>
        <w:jc w:val="both"/>
      </w:pPr>
    </w:p>
    <w:p w:rsidR="004F127D" w:rsidRPr="00C90523" w:rsidRDefault="004F127D" w:rsidP="00313BA1">
      <w:pPr>
        <w:spacing w:after="0"/>
        <w:jc w:val="both"/>
      </w:pPr>
    </w:p>
    <w:p w:rsidR="004F127D" w:rsidRPr="00C90523" w:rsidRDefault="006568A3" w:rsidP="00E60FC4">
      <w:pPr>
        <w:spacing w:after="0"/>
        <w:rPr>
          <w:b/>
        </w:rPr>
      </w:pPr>
      <w:bookmarkStart w:id="64" w:name="_Toc402442239"/>
      <w:r w:rsidRPr="006568A3">
        <w:rPr>
          <w:b/>
        </w:rPr>
        <w:t>b) Quadro jurídico-legal nacional</w:t>
      </w:r>
      <w:bookmarkEnd w:id="64"/>
    </w:p>
    <w:p w:rsidR="004F127D" w:rsidRPr="00C90523" w:rsidRDefault="004F127D" w:rsidP="00313BA1">
      <w:pPr>
        <w:spacing w:after="0"/>
        <w:jc w:val="both"/>
      </w:pPr>
    </w:p>
    <w:p w:rsidR="004F127D" w:rsidRPr="00861276" w:rsidRDefault="004F127D" w:rsidP="004F127D">
      <w:pPr>
        <w:spacing w:after="120"/>
        <w:jc w:val="both"/>
      </w:pPr>
      <w:r w:rsidRPr="00861276">
        <w:t xml:space="preserve">O quadro legal cabo-verdiano garante a igualdade e não discriminação perante a lei: </w:t>
      </w:r>
    </w:p>
    <w:p w:rsidR="004F127D" w:rsidRPr="00C90523" w:rsidRDefault="004F127D" w:rsidP="00243978">
      <w:pPr>
        <w:pStyle w:val="PargrafodaLista"/>
        <w:numPr>
          <w:ilvl w:val="0"/>
          <w:numId w:val="17"/>
        </w:numPr>
        <w:spacing w:after="120"/>
        <w:contextualSpacing w:val="0"/>
        <w:jc w:val="both"/>
      </w:pPr>
      <w:r w:rsidRPr="00C90523">
        <w:t>A Constituição da República garante direitos iguais a todos os cidadãos e proíbe a discriminação em razão do sexo; no seu artigo 7º atribui responsabilidades ao Estado na remoção dos obstáculos à igualdade de oportunidades de natureza económica, social, cultural e política, especialmente os factores de discriminação das mulheres na família e na sociedade; o artigo 47º institui como limite à liberdade de expressão e informação, o dever de não fazer a apologia da discriminação da mulher, incentiva no artigo 54º a participação equilibrada de cidadãos de ambos os sexos na vida política; estabelece, no artigo 81º, que a lei pune a violência doméstica.</w:t>
      </w:r>
    </w:p>
    <w:p w:rsidR="004F127D" w:rsidRPr="00C90523" w:rsidRDefault="004F127D" w:rsidP="00243978">
      <w:pPr>
        <w:pStyle w:val="PargrafodaLista"/>
        <w:numPr>
          <w:ilvl w:val="0"/>
          <w:numId w:val="17"/>
        </w:numPr>
        <w:spacing w:after="120"/>
        <w:contextualSpacing w:val="0"/>
        <w:jc w:val="both"/>
      </w:pPr>
      <w:r w:rsidRPr="00C90523">
        <w:t>A Lei Especial sobre Violência Baseada no Género (VBG) (Lei 84/VII/11, de 10 de Janeiro) define a violência contra as mulheres de forma ampla, ligando-a explicitamente à desigualdade de género, enquanto sintoma das relações desiguais de poder e mecanismo de subordinação das mulheres. O enfoque primário da Lei é a regulação das medidas necessárias para alcançar o efectivo princípio de igualdade de género, para reprimir e responsabilizar os autores de VBG e garantir o apoio às vítimas. Define a VBG como crime público e reforça o quadro de responsabilidades das instituições públicas na implementação da Lei, nomeadamente do ICIEG e dos sectores da Educação, Média, Justiça, Administração Pública e Saúde. A Lei, que se tornou efectiva em Março de 2011, está sendo implementada e previa a regulamentação de vários aspectos no prazo de um ano. A aprovação da proposta para a regulamentação da Lei VBG, que se encontra em fase final de análise, permitirá formalizar a Comité intersectorial para o seguimento da implementação da Lei VBG e operacionalizar vários serviços, entre os quais as casas de abrigo e o fundo de apoio. Apesar do profundo avanço que a Lei VBG representou para Cabo Verde, alguns aspectos, tais como o tráfico de mulheres, carecem de maior aprofundamento no ordenamento jurídico nacional, conforme recomendação recebida do Comité CEDAW. Um ante-projecto-lei sobre tráfico ilícito de migrantes representa algum avanço, na medida em que contem disposições relevantes em relação ao tráfico de seres humanos (TSH) e a exploração de imigrantes.</w:t>
      </w:r>
      <w:r w:rsidRPr="00C90523">
        <w:rPr>
          <w:rStyle w:val="Refdenotaderodap"/>
        </w:rPr>
        <w:footnoteReference w:id="45"/>
      </w:r>
      <w:r w:rsidRPr="00C90523">
        <w:t xml:space="preserve"> </w:t>
      </w:r>
    </w:p>
    <w:p w:rsidR="004F127D" w:rsidRPr="00C90523" w:rsidRDefault="004F127D" w:rsidP="00243978">
      <w:pPr>
        <w:pStyle w:val="PargrafodaLista"/>
        <w:numPr>
          <w:ilvl w:val="0"/>
          <w:numId w:val="17"/>
        </w:numPr>
        <w:spacing w:after="120"/>
        <w:contextualSpacing w:val="0"/>
        <w:jc w:val="both"/>
      </w:pPr>
      <w:r w:rsidRPr="00C90523">
        <w:t xml:space="preserve">O Código da Família (1997) reconhece a igualdade de direitos e de deveres aos dois cônjuges e a separação de pessoas e bens, consagra a união de facto, a igualdade das crianças nascidas dentro e fora do casamento, e o exercício conjunto do poder paternal. Contudo, o reconhecimento legal da união de facto é pouco praticado, em virtude da complexidade dos procedimentos e do desconhecimento deste mecanismo legal.  </w:t>
      </w:r>
    </w:p>
    <w:p w:rsidR="004F127D" w:rsidRPr="00C90523" w:rsidRDefault="004F127D" w:rsidP="00243978">
      <w:pPr>
        <w:pStyle w:val="PargrafodaLista"/>
        <w:numPr>
          <w:ilvl w:val="0"/>
          <w:numId w:val="17"/>
        </w:numPr>
        <w:spacing w:after="120"/>
        <w:contextualSpacing w:val="0"/>
        <w:jc w:val="both"/>
      </w:pPr>
      <w:r w:rsidRPr="00C90523">
        <w:t>O Código do Trabalho (2007) reconhece o emprego doméstico, a licença de 60 dias de maternidade, os direitos de dispensa para amamentação, a presunção do despedimento sem justa causa da grávida, puérpera ou lactante. Entre os desafios, há que assegurar que o tempo da licença de maternidade reflecte a normativa internacional e prever a licença de paternidade. Por outro lado, conforme recomendação recebida do Comité CEDAW, assegurar a integração do princípio de pago igual por trabalho igual no código laboral, em conformidade com a Convenção da OIT Nº100 da OIT, no sentido de reduzir o gap de género a nível salarial, contribuindo para a igualdade de oportunidade das mulheres no mercado laboral.</w:t>
      </w:r>
    </w:p>
    <w:p w:rsidR="004F127D" w:rsidRPr="00C90523" w:rsidRDefault="004F127D" w:rsidP="00243978">
      <w:pPr>
        <w:pStyle w:val="PargrafodaLista"/>
        <w:numPr>
          <w:ilvl w:val="0"/>
          <w:numId w:val="17"/>
        </w:numPr>
        <w:spacing w:after="120"/>
        <w:contextualSpacing w:val="0"/>
        <w:jc w:val="both"/>
      </w:pPr>
      <w:r w:rsidRPr="00C90523">
        <w:t xml:space="preserve">Os vários diplomas aprovados a partir de 2006 em relação à Previdência Social, que instituem a pensão social (sistema não contributivo), bem como a possibilidade de inscrição no sistema contributivo dos e das trabalhadoras do sector informal e empregadas domésticas. Criadas estas condições, estão em curso iniciativas de divulgação no sentido de aumentar as inscrições. </w:t>
      </w:r>
    </w:p>
    <w:p w:rsidR="004F127D" w:rsidRPr="00C90523" w:rsidRDefault="004F127D" w:rsidP="00243978">
      <w:pPr>
        <w:pStyle w:val="PargrafodaLista"/>
        <w:numPr>
          <w:ilvl w:val="0"/>
          <w:numId w:val="17"/>
        </w:numPr>
        <w:autoSpaceDE w:val="0"/>
        <w:autoSpaceDN w:val="0"/>
        <w:adjustRightInd w:val="0"/>
        <w:spacing w:after="120"/>
        <w:contextualSpacing w:val="0"/>
        <w:jc w:val="both"/>
      </w:pPr>
      <w:r w:rsidRPr="00C90523">
        <w:t>O Código Eleitoral de 1999 prevê a representação equilibrada de ambos os sexos nas listas eleitorais, e um prémio por subvenção eleitoral do Estado aos partidos políticos que façam eleger pelo menos 25% de candidatas, aspecto a regulamentar. Encontra-se presentemente em discussão o anteprojecto da Lei dos Partidos Políticos, que prevê o princípio da participação equilibrada de mulheres e homens na actividade político-partidária, “…</w:t>
      </w:r>
      <w:r w:rsidRPr="00C90523">
        <w:rPr>
          <w:i/>
        </w:rPr>
        <w:t>não podendo nas eleições dos titulares dos respectivos órgãos, nenhuma lista plurinominal conter, de entre os titulares, menos de 40% de cidadãos de cada um dos sexos</w:t>
      </w:r>
      <w:r w:rsidRPr="00C90523">
        <w:t>.” (artigo 32), ou seja a paridade, considerando um intervalo de 40% a 60%. Uma oportunidade a capitalizar, assegurando que a Lei dos Partidos Políticos prevê um dispositivo de fiscalização do cumprimento do estipulado em relação à paridade, ao mesmo tempo que se zela pela regulamentação da subvenção do Código Eleitoral acima mencionada.</w:t>
      </w:r>
    </w:p>
    <w:p w:rsidR="004F127D" w:rsidRPr="00C90523" w:rsidRDefault="004F127D" w:rsidP="00243978">
      <w:pPr>
        <w:pStyle w:val="PargrafodaLista"/>
        <w:numPr>
          <w:ilvl w:val="0"/>
          <w:numId w:val="17"/>
        </w:numPr>
        <w:spacing w:after="120"/>
        <w:contextualSpacing w:val="0"/>
        <w:jc w:val="both"/>
      </w:pPr>
      <w:r w:rsidRPr="00C90523">
        <w:t>O Estatuto da Criança e do Adolescente (ECA - Lei 50/VIII/2013) reúne num só instrumento toda a legislação relativa à criança e ao adolescente, introduzindo disposições fundamentais para a igualdade de género, que contribuem para colmatar lacunas identificadas em vários domínios (ver caixa). O ECA assenta numa perspectiva de construção da plena autonomia das crianças/adolescentes, destacando as responsabilidades que as famílias, instituições e políticas têm nesta matéria. Perspectiva muito relevante do ponto de vista do género, quer para a construção da autonomia das raparigas, quer dos rapazes. Neste sentido será primordial zelar pela plena implementação do ECA.</w:t>
      </w:r>
    </w:p>
    <w:p w:rsidR="004F127D" w:rsidRPr="00C90523" w:rsidRDefault="004F127D" w:rsidP="004F127D">
      <w:pPr>
        <w:shd w:val="clear" w:color="auto" w:fill="EEECE1" w:themeFill="background2"/>
        <w:spacing w:after="60"/>
        <w:ind w:left="284" w:right="284"/>
        <w:jc w:val="center"/>
        <w:rPr>
          <w:rFonts w:asciiTheme="majorBidi" w:hAnsiTheme="majorBidi" w:cstheme="majorBidi"/>
          <w:b/>
          <w:bCs/>
          <w:sz w:val="18"/>
          <w:szCs w:val="18"/>
        </w:rPr>
      </w:pPr>
      <w:r w:rsidRPr="00C90523">
        <w:rPr>
          <w:rFonts w:asciiTheme="majorBidi" w:hAnsiTheme="majorBidi" w:cstheme="majorBidi"/>
          <w:b/>
          <w:bCs/>
          <w:sz w:val="18"/>
          <w:szCs w:val="18"/>
        </w:rPr>
        <w:t>ESTATUTO DA CRIANÇA E DO ADOLESCENTE (ECA - LEI 50/VIII/2013)</w:t>
      </w:r>
    </w:p>
    <w:p w:rsidR="004F127D" w:rsidRPr="00C90523" w:rsidRDefault="004F127D" w:rsidP="004F127D">
      <w:pPr>
        <w:shd w:val="clear" w:color="auto" w:fill="EEECE1" w:themeFill="background2"/>
        <w:spacing w:after="60"/>
        <w:ind w:left="284" w:right="284"/>
        <w:jc w:val="both"/>
        <w:rPr>
          <w:sz w:val="18"/>
          <w:szCs w:val="18"/>
        </w:rPr>
      </w:pPr>
      <w:r w:rsidRPr="00C90523">
        <w:rPr>
          <w:b/>
          <w:i/>
          <w:sz w:val="18"/>
          <w:szCs w:val="18"/>
        </w:rPr>
        <w:t>Artigo 4</w:t>
      </w:r>
      <w:r w:rsidRPr="00C90523">
        <w:rPr>
          <w:sz w:val="18"/>
          <w:szCs w:val="18"/>
        </w:rPr>
        <w:t>: Define os limites de idade para “criança” (até aos 12 anos) e “adolescente” (dos 12 aos 18 anos)</w:t>
      </w:r>
    </w:p>
    <w:p w:rsidR="004F127D" w:rsidRPr="00C90523" w:rsidRDefault="004F127D" w:rsidP="004F127D">
      <w:pPr>
        <w:shd w:val="clear" w:color="auto" w:fill="EEECE1" w:themeFill="background2"/>
        <w:spacing w:after="60"/>
        <w:ind w:left="284" w:right="284"/>
        <w:jc w:val="both"/>
        <w:rPr>
          <w:sz w:val="18"/>
          <w:szCs w:val="18"/>
        </w:rPr>
      </w:pPr>
      <w:r w:rsidRPr="00C90523">
        <w:rPr>
          <w:sz w:val="18"/>
          <w:szCs w:val="18"/>
        </w:rPr>
        <w:t>Vários artigos: definem os prazos processuais para procedimentos que afectam as crianças e os adolescentes, uma medida crucial para combater a lentidão processual</w:t>
      </w:r>
    </w:p>
    <w:p w:rsidR="004F127D" w:rsidRPr="00C90523" w:rsidRDefault="004F127D" w:rsidP="004F127D">
      <w:pPr>
        <w:shd w:val="clear" w:color="auto" w:fill="EEECE1" w:themeFill="background2"/>
        <w:spacing w:after="60"/>
        <w:ind w:left="284" w:right="284"/>
        <w:jc w:val="both"/>
        <w:rPr>
          <w:sz w:val="18"/>
          <w:szCs w:val="18"/>
        </w:rPr>
      </w:pPr>
      <w:r w:rsidRPr="00C90523">
        <w:rPr>
          <w:b/>
          <w:i/>
          <w:sz w:val="18"/>
          <w:szCs w:val="18"/>
        </w:rPr>
        <w:t>Artigo 20</w:t>
      </w:r>
      <w:r w:rsidRPr="00C90523">
        <w:rPr>
          <w:sz w:val="18"/>
          <w:szCs w:val="18"/>
        </w:rPr>
        <w:t>: Contempla o direito à protecção perante qualquer fundamentalismo ou prática religiosa que atente contra a sua pessoa, permitindo o enquadramento de práticas nocivas que, não existindo presentemente em Cabo Verde, podem vir a surgir</w:t>
      </w:r>
    </w:p>
    <w:p w:rsidR="004F127D" w:rsidRPr="00C90523" w:rsidRDefault="004F127D" w:rsidP="004F127D">
      <w:pPr>
        <w:shd w:val="clear" w:color="auto" w:fill="EEECE1" w:themeFill="background2"/>
        <w:tabs>
          <w:tab w:val="left" w:pos="2835"/>
        </w:tabs>
        <w:spacing w:after="60"/>
        <w:ind w:left="284" w:right="284"/>
        <w:jc w:val="both"/>
        <w:rPr>
          <w:sz w:val="18"/>
          <w:szCs w:val="18"/>
        </w:rPr>
      </w:pPr>
      <w:r w:rsidRPr="00C90523">
        <w:rPr>
          <w:b/>
          <w:i/>
          <w:sz w:val="18"/>
          <w:szCs w:val="18"/>
        </w:rPr>
        <w:t>Artigo 22</w:t>
      </w:r>
      <w:r w:rsidRPr="00C90523">
        <w:rPr>
          <w:sz w:val="18"/>
          <w:szCs w:val="18"/>
        </w:rPr>
        <w:t xml:space="preserve">: Contempla a circulação não autorizada e ilícita em território nacional ou saída para o estrangeiro, permitindo o enquadramento de situações de tráfico </w:t>
      </w:r>
    </w:p>
    <w:p w:rsidR="004F127D" w:rsidRPr="00C90523" w:rsidRDefault="004F127D" w:rsidP="004F127D">
      <w:pPr>
        <w:shd w:val="clear" w:color="auto" w:fill="EEECE1" w:themeFill="background2"/>
        <w:spacing w:after="60"/>
        <w:ind w:left="284" w:right="284"/>
        <w:jc w:val="both"/>
        <w:rPr>
          <w:sz w:val="18"/>
          <w:szCs w:val="18"/>
        </w:rPr>
      </w:pPr>
      <w:r w:rsidRPr="00C90523">
        <w:rPr>
          <w:b/>
          <w:i/>
          <w:sz w:val="18"/>
          <w:szCs w:val="18"/>
        </w:rPr>
        <w:t>Artigo 29</w:t>
      </w:r>
      <w:r w:rsidRPr="00C90523">
        <w:rPr>
          <w:sz w:val="18"/>
          <w:szCs w:val="18"/>
        </w:rPr>
        <w:t xml:space="preserve">: Afirma o direito a conhecer os progenitores e investigar a sua maternidade ou paternidade nos termos da lei. Assim mesmo, contempla o reconhecimento pelos progenitores dos filhos havidos fora do casamento, conjunta ou separadamente, contribuindo para resolver situações em que, existindo casamento, é presumida a filiação da criança. </w:t>
      </w:r>
    </w:p>
    <w:p w:rsidR="004F127D" w:rsidRPr="00C90523" w:rsidRDefault="004F127D" w:rsidP="004F127D">
      <w:pPr>
        <w:shd w:val="clear" w:color="auto" w:fill="EEECE1" w:themeFill="background2"/>
        <w:spacing w:after="60"/>
        <w:ind w:left="284" w:right="284"/>
        <w:jc w:val="both"/>
        <w:rPr>
          <w:sz w:val="18"/>
          <w:szCs w:val="18"/>
        </w:rPr>
      </w:pPr>
      <w:r w:rsidRPr="00C90523">
        <w:rPr>
          <w:b/>
          <w:i/>
          <w:sz w:val="18"/>
          <w:szCs w:val="18"/>
        </w:rPr>
        <w:t>Artigo 43:</w:t>
      </w:r>
      <w:r w:rsidRPr="00C90523">
        <w:rPr>
          <w:sz w:val="18"/>
          <w:szCs w:val="18"/>
        </w:rPr>
        <w:t xml:space="preserve"> Afirma o direito de acesso a informação/educação sobre saúde sexual e reprodutiva (SSR), que permita um pleno desenvolvimento, uma conduta sexual responsável e uma maternidade e paternidade responsáveis, sãs, voluntárias e sem riscos.  Estabelece que o acesso a programas de SSR gratuitos e confidenciais; e, para adolescentes de 14 anos ou mais, o direito a solicitar e receber estes serviços, uma disposição que tem em conta uma limitação anterior dos programas de SSR existentes para adolescentes, que implicavam que as/os adolescentes, para aceder a contraceptivos, tinham de ser acompanhadas/os por um adulto responsável. Ainda no mesmo artigo, que as intervenções médicas, nomeadamente a interrupção voluntária da gravidez (legal em Cabo Verde nos termos da legislação específica em vigor), não pode ser realizada sem informação prévia à criança/adolescente e, no caso das adolescentes, se estas se opõem ao procedimento, não pode ser efectuado sem autorização judicial. </w:t>
      </w:r>
    </w:p>
    <w:p w:rsidR="004F127D" w:rsidRPr="00C90523" w:rsidRDefault="004F127D" w:rsidP="004F127D">
      <w:pPr>
        <w:shd w:val="clear" w:color="auto" w:fill="EEECE1" w:themeFill="background2"/>
        <w:spacing w:after="60"/>
        <w:ind w:left="284" w:right="284"/>
        <w:jc w:val="both"/>
        <w:rPr>
          <w:sz w:val="20"/>
          <w:szCs w:val="20"/>
        </w:rPr>
      </w:pPr>
      <w:r w:rsidRPr="00C90523">
        <w:rPr>
          <w:b/>
          <w:i/>
          <w:sz w:val="18"/>
          <w:szCs w:val="18"/>
        </w:rPr>
        <w:t>Artigo 47</w:t>
      </w:r>
      <w:r w:rsidRPr="00C90523">
        <w:rPr>
          <w:sz w:val="18"/>
          <w:szCs w:val="18"/>
        </w:rPr>
        <w:t xml:space="preserve">: A criança/adolescente grávida não pode ser incentivada a interromper os estudos ou a abandonar a escola, derrogando uma medida emitida pelo Ministério da Educação em 2001, que recomendava a interrupção temporária da frequência escolar para as adolescentes grávidas, para a reassumir após o parto. </w:t>
      </w:r>
    </w:p>
    <w:p w:rsidR="004F127D" w:rsidRPr="00C90523" w:rsidRDefault="004F127D" w:rsidP="00313BA1">
      <w:pPr>
        <w:spacing w:after="0"/>
        <w:jc w:val="both"/>
      </w:pPr>
    </w:p>
    <w:p w:rsidR="004F127D" w:rsidRPr="00C90523" w:rsidRDefault="004F127D" w:rsidP="00313BA1">
      <w:pPr>
        <w:spacing w:after="0"/>
        <w:jc w:val="both"/>
      </w:pPr>
      <w:r w:rsidRPr="00C90523">
        <w:t>Por outro lado os diplomas produzidos de 2008 a esta parte contêm disposições que promovem a igualdade entre mulheres e homens, bem como medidas afirmativas em relação às mulheres, reconhecendo situações em que existe necessidade de superar a desigualdade.</w:t>
      </w:r>
    </w:p>
    <w:p w:rsidR="004F127D" w:rsidRPr="00C90523" w:rsidRDefault="004F127D" w:rsidP="00313BA1">
      <w:pPr>
        <w:spacing w:after="0"/>
        <w:jc w:val="both"/>
        <w:rPr>
          <w:bCs/>
        </w:rPr>
      </w:pPr>
    </w:p>
    <w:p w:rsidR="004F127D" w:rsidRPr="00C90523" w:rsidRDefault="004F127D" w:rsidP="00313BA1">
      <w:pPr>
        <w:pStyle w:val="PargrafodaLista"/>
        <w:spacing w:after="0"/>
        <w:ind w:left="0"/>
        <w:jc w:val="both"/>
        <w:rPr>
          <w:b/>
        </w:rPr>
      </w:pPr>
    </w:p>
    <w:p w:rsidR="004F127D" w:rsidRPr="00861276" w:rsidRDefault="004F127D" w:rsidP="00B359F8">
      <w:pPr>
        <w:pStyle w:val="Cabealho2"/>
        <w:jc w:val="both"/>
      </w:pPr>
      <w:bookmarkStart w:id="65" w:name="_Toc402442240"/>
      <w:bookmarkStart w:id="66" w:name="_Toc406667290"/>
      <w:r w:rsidRPr="00861276">
        <w:t>2.2 QUADRO INSTITUCIONAL E POLÍTICO PARA A IGUALDADE DE GÉNERO EM CABO VERDE</w:t>
      </w:r>
      <w:bookmarkEnd w:id="65"/>
      <w:bookmarkEnd w:id="66"/>
    </w:p>
    <w:p w:rsidR="004F127D" w:rsidRPr="00C90523" w:rsidRDefault="006568A3" w:rsidP="00E60FC4">
      <w:pPr>
        <w:pStyle w:val="Cabealho3"/>
        <w:jc w:val="both"/>
      </w:pPr>
      <w:bookmarkStart w:id="67" w:name="_Toc402442241"/>
      <w:bookmarkStart w:id="68" w:name="_Toc406667291"/>
      <w:r w:rsidRPr="006568A3">
        <w:t>2.2.1. Grau de priorização da agenda de género na programação estratégica nacional</w:t>
      </w:r>
      <w:bookmarkEnd w:id="67"/>
      <w:bookmarkEnd w:id="68"/>
      <w:r w:rsidRPr="006568A3">
        <w:t xml:space="preserve"> </w:t>
      </w:r>
    </w:p>
    <w:p w:rsidR="004F127D" w:rsidRPr="00C90523" w:rsidRDefault="004F127D" w:rsidP="00313BA1">
      <w:pPr>
        <w:spacing w:after="0"/>
        <w:jc w:val="both"/>
      </w:pPr>
    </w:p>
    <w:p w:rsidR="004F127D" w:rsidRPr="00C90523" w:rsidRDefault="004F127D" w:rsidP="00313BA1">
      <w:pPr>
        <w:spacing w:after="0"/>
        <w:jc w:val="both"/>
      </w:pPr>
      <w:r w:rsidRPr="00861276">
        <w:t>O Programa do Governo (2012-2016) assinala a importância da igualdade de género, tida como um de quatro pilares coadjuvantes para o cresci</w:t>
      </w:r>
      <w:r w:rsidRPr="00861276">
        <w:softHyphen/>
        <w:t>mento económico, a redução da pobreza e para atingir os ODM.</w:t>
      </w:r>
      <w:r w:rsidRPr="00C90523">
        <w:t xml:space="preserve"> Neste contexto, em 2012 o ICIEG elaborou uma </w:t>
      </w:r>
      <w:r w:rsidRPr="00C90523">
        <w:rPr>
          <w:i/>
        </w:rPr>
        <w:t>Proposta para efectivar a transversalização da abordagem de género no programa de Governo</w:t>
      </w:r>
      <w:r w:rsidRPr="00C90523">
        <w:t xml:space="preserve">, que faz corresponder a cada área estratégica enunciada, as medidas prioritárias a implementar para assegurar a transversalização da abordagem de género. </w:t>
      </w:r>
    </w:p>
    <w:p w:rsidR="004F127D" w:rsidRPr="00C90523" w:rsidRDefault="004F127D" w:rsidP="00313BA1">
      <w:pPr>
        <w:spacing w:after="0"/>
        <w:jc w:val="both"/>
      </w:pPr>
    </w:p>
    <w:p w:rsidR="004F127D" w:rsidRPr="00C90523" w:rsidRDefault="004F127D" w:rsidP="00313BA1">
      <w:pPr>
        <w:spacing w:after="0"/>
        <w:jc w:val="both"/>
      </w:pPr>
      <w:r w:rsidRPr="00C90523">
        <w:t>Ancorada no Programa do Governo, a Estratégia de Crescimento e de Redução da Pobreza (DECRP III, 2012 – 2016) assinala a relevância do género “</w:t>
      </w:r>
      <w:r w:rsidRPr="00C90523">
        <w:rPr>
          <w:i/>
        </w:rPr>
        <w:t>numa perspectiva da competitividade uma vez que os desafios do aumento da produtividade e crescimento económico só podem ser vencidos através da realização do pleno potencial contributo das mulheres”</w:t>
      </w:r>
      <w:r w:rsidRPr="00C90523">
        <w:rPr>
          <w:rStyle w:val="Refdenotaderodap"/>
          <w:i/>
        </w:rPr>
        <w:footnoteReference w:id="46"/>
      </w:r>
      <w:r w:rsidRPr="00C90523">
        <w:rPr>
          <w:i/>
        </w:rPr>
        <w:t>.</w:t>
      </w:r>
    </w:p>
    <w:p w:rsidR="004F127D" w:rsidRPr="00861276" w:rsidRDefault="004F127D" w:rsidP="00313BA1">
      <w:pPr>
        <w:pStyle w:val="PargrafodaLista"/>
        <w:spacing w:after="0"/>
        <w:ind w:left="0"/>
        <w:jc w:val="both"/>
        <w:rPr>
          <w:b/>
        </w:rPr>
      </w:pPr>
    </w:p>
    <w:p w:rsidR="004F127D" w:rsidRPr="00C90523" w:rsidRDefault="006568A3" w:rsidP="00E60FC4">
      <w:pPr>
        <w:pStyle w:val="Cabealho3"/>
        <w:jc w:val="both"/>
      </w:pPr>
      <w:bookmarkStart w:id="69" w:name="_Toc402442242"/>
      <w:bookmarkStart w:id="70" w:name="_Toc406667292"/>
      <w:r w:rsidRPr="006568A3">
        <w:t>2.2.2. Instituições e mecanismos institucionais para a igualdade de género</w:t>
      </w:r>
      <w:bookmarkEnd w:id="69"/>
      <w:bookmarkEnd w:id="70"/>
    </w:p>
    <w:p w:rsidR="004F127D" w:rsidRPr="00C90523" w:rsidRDefault="004F127D" w:rsidP="004F127D">
      <w:pPr>
        <w:pStyle w:val="PargrafodaLista"/>
        <w:ind w:left="0"/>
        <w:jc w:val="both"/>
      </w:pPr>
    </w:p>
    <w:p w:rsidR="004F127D" w:rsidRPr="00C90523" w:rsidRDefault="004F127D" w:rsidP="00313BA1">
      <w:pPr>
        <w:pStyle w:val="PargrafodaLista"/>
        <w:spacing w:after="0"/>
        <w:ind w:left="0"/>
        <w:jc w:val="both"/>
      </w:pPr>
      <w:r w:rsidRPr="00861276">
        <w:t>O ICIEG – Instituto Cabo-verdiano para a Igualdade e E</w:t>
      </w:r>
      <w:r w:rsidRPr="00C90523">
        <w:t>quidade de Género, é o órgão governamental encarregue das políticas públicas relativas à igualdade de género, em todas as esferas de actividade do país. Depende da cheia do Governo, nomeadamente do Primeiro-ministro, que delega a tutela a um Ministro (desde 2008 um Ministro-adjunto). Presentemente a tutela é assumida pela Ministra-adjunta e da Saúde. O Instituto entrou em funcionamento em 1994, na altura enquanto ICF – Instituto da Condição Feminina, passando a ICIEG em 2006, o que corresponde a uma mudança de foco e de abordagem: passando de um enfoque centrado nas mulheres para um enfoque nas relações sociais de género; e de uma abordagem de políticas específicas de igualdade para as mulheres, a uma abordagem de igualdade em todas as políticas e sectores, mediante uma estratégia de integração transversal da igualdade de género em todas as fases de concepção, implementação e seguimento e avaliação das políticas públicas.</w:t>
      </w:r>
    </w:p>
    <w:p w:rsidR="004F127D" w:rsidRPr="00C90523" w:rsidRDefault="004F127D" w:rsidP="00313BA1">
      <w:pPr>
        <w:spacing w:after="0"/>
        <w:jc w:val="both"/>
      </w:pPr>
    </w:p>
    <w:p w:rsidR="004F127D" w:rsidRPr="00C90523" w:rsidRDefault="004F127D" w:rsidP="00313BA1">
      <w:pPr>
        <w:shd w:val="clear" w:color="auto" w:fill="D9D9D9" w:themeFill="background1" w:themeFillShade="D9"/>
        <w:spacing w:after="0"/>
        <w:ind w:left="284" w:right="284"/>
        <w:jc w:val="center"/>
        <w:rPr>
          <w:b/>
          <w:sz w:val="18"/>
          <w:szCs w:val="18"/>
        </w:rPr>
      </w:pPr>
      <w:r w:rsidRPr="00C90523">
        <w:rPr>
          <w:b/>
          <w:sz w:val="18"/>
          <w:szCs w:val="18"/>
        </w:rPr>
        <w:t>PERCURSO INSTITUCIONAL E ORGANIZATIVO DA IGUALDADE DE GÉNERO EM CABO VERDE</w:t>
      </w:r>
    </w:p>
    <w:p w:rsidR="004F127D" w:rsidRPr="00C90523" w:rsidRDefault="004F127D" w:rsidP="004F127D">
      <w:pPr>
        <w:shd w:val="clear" w:color="auto" w:fill="D9D9D9" w:themeFill="background1" w:themeFillShade="D9"/>
        <w:ind w:left="284" w:right="284"/>
        <w:jc w:val="both"/>
        <w:rPr>
          <w:rFonts w:eastAsia="Times New Roman" w:cs="Calibri"/>
          <w:sz w:val="18"/>
          <w:szCs w:val="18"/>
        </w:rPr>
      </w:pPr>
      <w:r w:rsidRPr="00861276">
        <w:rPr>
          <w:rFonts w:cs="Calibri"/>
          <w:b/>
          <w:i/>
          <w:sz w:val="18"/>
          <w:szCs w:val="18"/>
        </w:rPr>
        <w:t>Desde a inde</w:t>
      </w:r>
      <w:r w:rsidRPr="00C90523">
        <w:rPr>
          <w:rFonts w:cs="Calibri"/>
          <w:b/>
          <w:i/>
          <w:sz w:val="18"/>
          <w:szCs w:val="18"/>
        </w:rPr>
        <w:t>pendência</w:t>
      </w:r>
      <w:r w:rsidRPr="00C90523">
        <w:rPr>
          <w:rFonts w:cs="Calibri"/>
          <w:sz w:val="18"/>
          <w:szCs w:val="18"/>
        </w:rPr>
        <w:t>: o activismo de género tem sido efectivo no país. N</w:t>
      </w:r>
      <w:r w:rsidRPr="00C90523">
        <w:rPr>
          <w:rFonts w:eastAsia="Times New Roman" w:cs="Calibri"/>
          <w:sz w:val="18"/>
          <w:szCs w:val="18"/>
        </w:rPr>
        <w:t xml:space="preserve">a década de 80 </w:t>
      </w:r>
      <w:r w:rsidRPr="00C90523">
        <w:rPr>
          <w:rFonts w:cs="Calibri"/>
          <w:sz w:val="18"/>
          <w:szCs w:val="18"/>
        </w:rPr>
        <w:t>com a OMCV</w:t>
      </w:r>
      <w:r w:rsidRPr="00C90523">
        <w:rPr>
          <w:rFonts w:eastAsia="Times New Roman" w:cs="Calibri"/>
          <w:sz w:val="18"/>
          <w:szCs w:val="18"/>
        </w:rPr>
        <w:t xml:space="preserve">, no contexto do regime de partido único; a partir de 90, com o multipartidarismo, surgem organizações da sociedade civil tais como a MORABI, AMJ, REDEMEC, VERDEFAM, entre outras. O papel da sociedade civil foi fundamental para combater as desigualdades existentes entre homens e mulheres, enquanto impulsionadora de projectos e programas de acesso a bens e serviços </w:t>
      </w:r>
      <w:r w:rsidRPr="00C90523">
        <w:rPr>
          <w:sz w:val="18"/>
          <w:szCs w:val="18"/>
        </w:rPr>
        <w:t xml:space="preserve">em vários domínios, educação, saúde, geração de renda, violência contra a mulher; e como </w:t>
      </w:r>
      <w:r w:rsidRPr="00C90523">
        <w:rPr>
          <w:rFonts w:eastAsia="Times New Roman" w:cs="Calibri"/>
          <w:sz w:val="18"/>
          <w:szCs w:val="18"/>
        </w:rPr>
        <w:t xml:space="preserve">impulsionadora da igualdade nas instâncias de poder e de uma cultura de igualdade de género nas várias esferas da vida, através da sua acção de advocacia e de informação, educação e comunicação. </w:t>
      </w:r>
    </w:p>
    <w:p w:rsidR="004F127D" w:rsidRPr="00C90523" w:rsidRDefault="004F127D" w:rsidP="004F127D">
      <w:pPr>
        <w:shd w:val="clear" w:color="auto" w:fill="D9D9D9" w:themeFill="background1" w:themeFillShade="D9"/>
        <w:ind w:left="284" w:right="284"/>
        <w:jc w:val="both"/>
        <w:rPr>
          <w:sz w:val="18"/>
          <w:szCs w:val="18"/>
        </w:rPr>
      </w:pPr>
      <w:r w:rsidRPr="00C90523">
        <w:rPr>
          <w:rFonts w:eastAsia="Times New Roman" w:cs="Calibri"/>
          <w:b/>
          <w:sz w:val="18"/>
          <w:szCs w:val="18"/>
        </w:rPr>
        <w:t>1994</w:t>
      </w:r>
      <w:r w:rsidRPr="00C90523">
        <w:rPr>
          <w:rFonts w:eastAsia="Times New Roman" w:cs="Calibri"/>
          <w:sz w:val="18"/>
          <w:szCs w:val="18"/>
        </w:rPr>
        <w:t xml:space="preserve">: a criação do ICF dá lugar a uma etapa em que o género passa a ser política pública e em que são criados mecanismos institucionais que assegurem os direitos das mulheres. </w:t>
      </w:r>
      <w:r w:rsidRPr="00C90523">
        <w:rPr>
          <w:sz w:val="18"/>
          <w:szCs w:val="18"/>
        </w:rPr>
        <w:t xml:space="preserve">O enfoque do ICF continua a ser a acção dirigida às mulheres, no sentido de contrariar as discriminações verificadas, contemplando serviços vocacionados para as mulheres e concessão de ajudas específicas, que visam proporcionar às mulheres vantagens concretas para combater a situação de desvantagem em que se encontram. </w:t>
      </w:r>
    </w:p>
    <w:p w:rsidR="004F127D" w:rsidRPr="00C90523" w:rsidRDefault="004F127D" w:rsidP="004F127D">
      <w:pPr>
        <w:shd w:val="clear" w:color="auto" w:fill="D9D9D9" w:themeFill="background1" w:themeFillShade="D9"/>
        <w:ind w:left="284" w:right="284"/>
        <w:jc w:val="both"/>
        <w:rPr>
          <w:color w:val="FF0000"/>
          <w:sz w:val="18"/>
          <w:szCs w:val="18"/>
        </w:rPr>
      </w:pPr>
      <w:r w:rsidRPr="00C90523">
        <w:rPr>
          <w:b/>
          <w:i/>
          <w:sz w:val="18"/>
          <w:szCs w:val="18"/>
        </w:rPr>
        <w:t>2006</w:t>
      </w:r>
      <w:r w:rsidRPr="00C90523">
        <w:rPr>
          <w:sz w:val="18"/>
          <w:szCs w:val="18"/>
        </w:rPr>
        <w:t xml:space="preserve">: o ICIEG, a partir de 2006, passa a uma abordagem de género, reconhecendo que as políticas específicas, embora importantes e necessárias para dar respostas concretas a curto prazo, não produzem mudanças nas estruturas sociais e nas instituições. Assim sendo, dificilmente podem contrariar o impacto de género provocado por políticas planificadas e implementadas sem ter em conta uma abordagem de género. </w:t>
      </w:r>
    </w:p>
    <w:p w:rsidR="004F127D" w:rsidRPr="00C90523" w:rsidRDefault="004F127D" w:rsidP="00313BA1">
      <w:pPr>
        <w:spacing w:after="0"/>
        <w:jc w:val="both"/>
      </w:pPr>
    </w:p>
    <w:p w:rsidR="004F127D" w:rsidRPr="00861276" w:rsidRDefault="004F127D" w:rsidP="00313BA1">
      <w:pPr>
        <w:spacing w:after="0"/>
        <w:jc w:val="both"/>
      </w:pPr>
      <w:r w:rsidRPr="00C90523">
        <w:t>O estatuto do ICF, hoje ICIEG, prevê um</w:t>
      </w:r>
      <w:r w:rsidRPr="00C90523">
        <w:rPr>
          <w:rFonts w:cs="Arial"/>
        </w:rPr>
        <w:t xml:space="preserve"> Conselho Consultivo, </w:t>
      </w:r>
      <w:r w:rsidRPr="00C90523">
        <w:t>órgão que “</w:t>
      </w:r>
      <w:r w:rsidRPr="00861276">
        <w:rPr>
          <w:i/>
        </w:rPr>
        <w:t>assegura a cooperação de todos os sectores da Administração e de ONG na p</w:t>
      </w:r>
      <w:r w:rsidRPr="00C90523">
        <w:rPr>
          <w:i/>
        </w:rPr>
        <w:t>rossecução dos objectivos do ICF e das políticas definidas relativamente à problemática de Género e compete-lhe acompanhar e avaliar a execução dessas políticas. Nele devem estar representados três sectores governamentais prioritários na implementação dos programas de desenvolvimento em matéria de género e três organizações da sociedade civil (ONG), ligadas a esta problemática.</w:t>
      </w:r>
      <w:r w:rsidRPr="00C90523">
        <w:t>”</w:t>
      </w:r>
      <w:r w:rsidRPr="00C90523">
        <w:rPr>
          <w:rStyle w:val="Refdenotaderodap"/>
        </w:rPr>
        <w:footnoteReference w:id="47"/>
      </w:r>
      <w:r w:rsidRPr="00C90523">
        <w:t xml:space="preserve"> Funcionou de forma limitada no tempo, aquando do início da elaboração do PNIEG, existindo a necessidade de reforçar os mecanismos de coordenaç</w:t>
      </w:r>
      <w:r w:rsidRPr="00861276">
        <w:t>ão intersectorial para assegurar a boa implementação, seguimento e avaliação da política de género.</w:t>
      </w:r>
    </w:p>
    <w:p w:rsidR="004F127D" w:rsidRPr="00C90523" w:rsidRDefault="004F127D" w:rsidP="00313BA1">
      <w:pPr>
        <w:spacing w:after="0"/>
        <w:jc w:val="both"/>
        <w:rPr>
          <w:rFonts w:ascii="Calibri" w:hAnsi="Calibri"/>
        </w:rPr>
      </w:pPr>
    </w:p>
    <w:p w:rsidR="004F127D" w:rsidRPr="00861276" w:rsidRDefault="004F127D" w:rsidP="00313BA1">
      <w:pPr>
        <w:spacing w:after="0"/>
        <w:jc w:val="both"/>
        <w:rPr>
          <w:rFonts w:ascii="Calibri" w:hAnsi="Calibri"/>
        </w:rPr>
      </w:pPr>
      <w:r w:rsidRPr="00C90523">
        <w:rPr>
          <w:rFonts w:ascii="Calibri" w:hAnsi="Calibri"/>
        </w:rPr>
        <w:t xml:space="preserve">Existem Pontos Focais de género nos Ministérios e Municípios, vocacionados para a incorporação da abordagem de género nas suas instituições, com base nas prioridades traçadas no âmbito da política de género. Mais recentemente, no âmbito de alguns programas, começam a surgir células de género vocacionadas para a transversalização da abordagem de género, como é o caso do </w:t>
      </w:r>
      <w:r w:rsidR="00DE5F6F" w:rsidRPr="00C90523">
        <w:rPr>
          <w:rFonts w:ascii="Calibri" w:hAnsi="Calibri"/>
        </w:rPr>
        <w:t>Programa das Oportunidades Socio-económicas Rurais (POSER)</w:t>
      </w:r>
      <w:r w:rsidR="00DE5F6F" w:rsidRPr="00C90523">
        <w:rPr>
          <w:rStyle w:val="Refdenotaderodap"/>
          <w:rFonts w:ascii="Calibri" w:hAnsi="Calibri"/>
        </w:rPr>
        <w:footnoteReference w:id="48"/>
      </w:r>
      <w:r w:rsidR="00DE5F6F" w:rsidRPr="00C90523">
        <w:rPr>
          <w:rFonts w:ascii="Calibri" w:hAnsi="Calibri"/>
        </w:rPr>
        <w:t xml:space="preserve">, </w:t>
      </w:r>
      <w:r w:rsidRPr="00C90523">
        <w:rPr>
          <w:rFonts w:ascii="Calibri" w:hAnsi="Calibri"/>
        </w:rPr>
        <w:t>ou o Programa de Reforma do Sector da Água e Saneamento, enquanto</w:t>
      </w:r>
      <w:r w:rsidRPr="00861276">
        <w:rPr>
          <w:rFonts w:ascii="Calibri" w:hAnsi="Calibri"/>
        </w:rPr>
        <w:t xml:space="preserve"> alguns Ministérios equacionam o estabelecimento de grupos de trabalho internos.</w:t>
      </w:r>
    </w:p>
    <w:p w:rsidR="004F127D" w:rsidRPr="00C90523" w:rsidRDefault="004F127D" w:rsidP="00313BA1">
      <w:pPr>
        <w:spacing w:after="0"/>
        <w:jc w:val="both"/>
        <w:rPr>
          <w:rFonts w:ascii="Calibri" w:hAnsi="Calibri"/>
        </w:rPr>
      </w:pPr>
    </w:p>
    <w:p w:rsidR="004F127D" w:rsidRPr="00C90523" w:rsidRDefault="004F127D" w:rsidP="00313BA1">
      <w:pPr>
        <w:shd w:val="clear" w:color="auto" w:fill="D9D9D9" w:themeFill="background1" w:themeFillShade="D9"/>
        <w:spacing w:after="0"/>
        <w:jc w:val="center"/>
        <w:rPr>
          <w:rFonts w:ascii="Calibri" w:hAnsi="Calibri"/>
          <w:b/>
          <w:bCs/>
          <w:sz w:val="18"/>
          <w:szCs w:val="18"/>
          <w:shd w:val="clear" w:color="auto" w:fill="D9D9D9" w:themeFill="background1" w:themeFillShade="D9"/>
        </w:rPr>
      </w:pPr>
      <w:r w:rsidRPr="00C90523">
        <w:rPr>
          <w:rFonts w:ascii="Calibri" w:hAnsi="Calibri"/>
          <w:b/>
          <w:bCs/>
          <w:sz w:val="18"/>
          <w:szCs w:val="18"/>
          <w:shd w:val="clear" w:color="auto" w:fill="D9D9D9" w:themeFill="background1" w:themeFillShade="D9"/>
        </w:rPr>
        <w:t>A TRANSVERSALIDADE: UMA ESTRATÉGIA QUE PRECISA TAMBEM DE INSTITUCIONALIDADE</w:t>
      </w:r>
    </w:p>
    <w:p w:rsidR="004F127D" w:rsidRPr="00C90523" w:rsidRDefault="004F127D" w:rsidP="004F127D">
      <w:pPr>
        <w:shd w:val="clear" w:color="auto" w:fill="D9D9D9" w:themeFill="background1" w:themeFillShade="D9"/>
        <w:jc w:val="both"/>
        <w:rPr>
          <w:rFonts w:ascii="Calibri" w:hAnsi="Calibri"/>
          <w:b/>
          <w:bCs/>
          <w:sz w:val="18"/>
          <w:szCs w:val="18"/>
          <w:shd w:val="clear" w:color="auto" w:fill="D9D9D9" w:themeFill="background1" w:themeFillShade="D9"/>
        </w:rPr>
      </w:pPr>
    </w:p>
    <w:p w:rsidR="004F127D" w:rsidRPr="00C90523" w:rsidRDefault="004F127D" w:rsidP="004F127D">
      <w:pPr>
        <w:shd w:val="clear" w:color="auto" w:fill="D9D9D9" w:themeFill="background1" w:themeFillShade="D9"/>
        <w:jc w:val="both"/>
        <w:rPr>
          <w:rFonts w:ascii="Calibri" w:hAnsi="Calibri"/>
          <w:sz w:val="18"/>
          <w:szCs w:val="18"/>
          <w:shd w:val="clear" w:color="auto" w:fill="D9D9D9" w:themeFill="background1" w:themeFillShade="D9"/>
        </w:rPr>
      </w:pPr>
      <w:r w:rsidRPr="00C90523">
        <w:rPr>
          <w:rFonts w:ascii="Calibri" w:hAnsi="Calibri"/>
          <w:b/>
          <w:bCs/>
          <w:sz w:val="18"/>
          <w:szCs w:val="18"/>
          <w:shd w:val="clear" w:color="auto" w:fill="D9D9D9" w:themeFill="background1" w:themeFillShade="D9"/>
        </w:rPr>
        <w:t>2006</w:t>
      </w:r>
      <w:r w:rsidRPr="00C90523">
        <w:rPr>
          <w:rFonts w:ascii="Calibri" w:hAnsi="Calibri"/>
          <w:sz w:val="18"/>
          <w:szCs w:val="18"/>
          <w:shd w:val="clear" w:color="auto" w:fill="D9D9D9" w:themeFill="background1" w:themeFillShade="D9"/>
        </w:rPr>
        <w:t xml:space="preserve"> Com a criação do ICIEG começam as primeiras iniciativas para o estabelecimento do sistema de pontos focais Esta estratégia no obstante viu-se limitada em razão de factores como a rotatividade dos quadros e do perfil desajustado das pessoas indigitadas, nomeadamente no que tange ao seu poder de decisão e influenciação. </w:t>
      </w:r>
    </w:p>
    <w:p w:rsidR="004F127D" w:rsidRPr="00C90523" w:rsidRDefault="004F127D" w:rsidP="004F127D">
      <w:pPr>
        <w:shd w:val="clear" w:color="auto" w:fill="D9D9D9" w:themeFill="background1" w:themeFillShade="D9"/>
        <w:jc w:val="both"/>
        <w:rPr>
          <w:rFonts w:ascii="Calibri" w:hAnsi="Calibri"/>
          <w:sz w:val="18"/>
          <w:szCs w:val="18"/>
          <w:shd w:val="clear" w:color="auto" w:fill="D9D9D9" w:themeFill="background1" w:themeFillShade="D9"/>
        </w:rPr>
      </w:pPr>
      <w:r w:rsidRPr="00C90523">
        <w:rPr>
          <w:rFonts w:ascii="Calibri" w:hAnsi="Calibri"/>
          <w:b/>
          <w:i/>
          <w:sz w:val="18"/>
          <w:szCs w:val="18"/>
          <w:shd w:val="clear" w:color="auto" w:fill="D9D9D9" w:themeFill="background1" w:themeFillShade="D9"/>
        </w:rPr>
        <w:t>2008/2009</w:t>
      </w:r>
      <w:r w:rsidRPr="00C90523">
        <w:rPr>
          <w:rFonts w:ascii="Calibri" w:hAnsi="Calibri"/>
          <w:sz w:val="18"/>
          <w:szCs w:val="18"/>
          <w:shd w:val="clear" w:color="auto" w:fill="D9D9D9" w:themeFill="background1" w:themeFillShade="D9"/>
        </w:rPr>
        <w:t xml:space="preserve">: são privilegiadas novas estratégias para a transversalização da abordagem de género, com enfoque em programas/instituições particulares e em actores do sistema nacional de planificação, incluindo o Ministério das Finanças e do Planeamento e as DGPOG dos sectores (auditorias de género, reforço das capacidades em planificação e orçamentação sensível, melhoria da disponibilidade/análise de dados para dar visibilidade às desigualdades). </w:t>
      </w:r>
    </w:p>
    <w:p w:rsidR="004F127D" w:rsidRPr="00C90523" w:rsidRDefault="004F127D" w:rsidP="004F127D">
      <w:pPr>
        <w:shd w:val="clear" w:color="auto" w:fill="D9D9D9" w:themeFill="background1" w:themeFillShade="D9"/>
        <w:jc w:val="both"/>
        <w:rPr>
          <w:rFonts w:ascii="Calibri" w:hAnsi="Calibri"/>
          <w:sz w:val="18"/>
          <w:szCs w:val="18"/>
          <w:shd w:val="clear" w:color="auto" w:fill="D9D9D9" w:themeFill="background1" w:themeFillShade="D9"/>
        </w:rPr>
      </w:pPr>
      <w:r w:rsidRPr="00C90523">
        <w:rPr>
          <w:rFonts w:ascii="Calibri" w:hAnsi="Calibri"/>
          <w:b/>
          <w:i/>
          <w:sz w:val="18"/>
          <w:szCs w:val="18"/>
          <w:shd w:val="clear" w:color="auto" w:fill="D9D9D9" w:themeFill="background1" w:themeFillShade="D9"/>
        </w:rPr>
        <w:t>2010/2012</w:t>
      </w:r>
      <w:r w:rsidRPr="00C90523">
        <w:rPr>
          <w:rFonts w:ascii="Calibri" w:hAnsi="Calibri"/>
          <w:sz w:val="18"/>
          <w:szCs w:val="18"/>
          <w:shd w:val="clear" w:color="auto" w:fill="D9D9D9" w:themeFill="background1" w:themeFillShade="D9"/>
        </w:rPr>
        <w:t>: com a aprovação da Lei de VBG, é reforçado o trabalho com sectores específicos e perspectivado um Comité Nacional para Monitorização da Implementação da Lei VBG, composto por instituições governamentais e não-governamentais directamente envolvidas na implementação da Lei VBG.</w:t>
      </w:r>
      <w:r w:rsidRPr="00C90523">
        <w:rPr>
          <w:rStyle w:val="Refdenotaderodap"/>
          <w:sz w:val="18"/>
          <w:szCs w:val="18"/>
          <w:shd w:val="clear" w:color="auto" w:fill="D9D9D9" w:themeFill="background1" w:themeFillShade="D9"/>
        </w:rPr>
        <w:footnoteReference w:id="49"/>
      </w:r>
      <w:r w:rsidRPr="00C90523">
        <w:rPr>
          <w:rFonts w:ascii="Calibri" w:hAnsi="Calibri"/>
          <w:sz w:val="18"/>
          <w:szCs w:val="18"/>
          <w:shd w:val="clear" w:color="auto" w:fill="D9D9D9" w:themeFill="background1" w:themeFillShade="D9"/>
        </w:rPr>
        <w:t xml:space="preserve"> Os técnicos e técnicas indigitadas foram formadas, aguardando-se a formalização do Comité. </w:t>
      </w:r>
    </w:p>
    <w:p w:rsidR="004F127D" w:rsidRPr="00C90523" w:rsidRDefault="004F127D" w:rsidP="004F127D">
      <w:pPr>
        <w:shd w:val="clear" w:color="auto" w:fill="D9D9D9" w:themeFill="background1" w:themeFillShade="D9"/>
        <w:jc w:val="both"/>
        <w:rPr>
          <w:rFonts w:ascii="Calibri" w:hAnsi="Calibri"/>
          <w:sz w:val="18"/>
          <w:szCs w:val="18"/>
          <w:shd w:val="clear" w:color="auto" w:fill="D9D9D9" w:themeFill="background1" w:themeFillShade="D9"/>
        </w:rPr>
      </w:pPr>
      <w:r w:rsidRPr="00861276">
        <w:rPr>
          <w:rFonts w:ascii="Calibri" w:hAnsi="Calibri"/>
          <w:b/>
          <w:i/>
          <w:sz w:val="18"/>
          <w:szCs w:val="18"/>
          <w:shd w:val="clear" w:color="auto" w:fill="D9D9D9" w:themeFill="background1" w:themeFillShade="D9"/>
        </w:rPr>
        <w:t>Atualmente</w:t>
      </w:r>
      <w:r w:rsidRPr="00C90523">
        <w:rPr>
          <w:rFonts w:ascii="Calibri" w:hAnsi="Calibri"/>
          <w:sz w:val="18"/>
          <w:szCs w:val="18"/>
          <w:shd w:val="clear" w:color="auto" w:fill="D9D9D9" w:themeFill="background1" w:themeFillShade="D9"/>
        </w:rPr>
        <w:t>: o ICIEG dispõe de uma equipa de Pontos Focais com competências técnicas melhoradas e condições mais favoráveis para dialogar e influenciar as estruturas centrais de planificação de cada ministério. O percurso dos Pontos Focais Municipais tem, paralelemente, evoluído no mesmo sentido, contando com iniciativas próprias de reforço das capacidades.</w:t>
      </w:r>
    </w:p>
    <w:p w:rsidR="004F127D" w:rsidRPr="00C90523" w:rsidRDefault="004F127D" w:rsidP="00313BA1">
      <w:pPr>
        <w:spacing w:after="0"/>
        <w:jc w:val="both"/>
        <w:rPr>
          <w:rFonts w:ascii="Calibri" w:hAnsi="Calibri"/>
        </w:rPr>
      </w:pPr>
    </w:p>
    <w:p w:rsidR="004F127D" w:rsidRPr="00C90523" w:rsidRDefault="004F127D" w:rsidP="00313BA1">
      <w:pPr>
        <w:spacing w:after="0"/>
        <w:jc w:val="both"/>
        <w:rPr>
          <w:rFonts w:cs="Verdana"/>
          <w:color w:val="0070C0"/>
          <w:lang w:eastAsia="de-DE"/>
        </w:rPr>
      </w:pPr>
      <w:r w:rsidRPr="00C90523">
        <w:rPr>
          <w:rFonts w:cs="Verdana"/>
          <w:lang w:eastAsia="de-DE"/>
        </w:rPr>
        <w:t>A avaliação do PNIEG (2005-2011) observou uma evolução positiva, ao longo do período de implementação, em termos da abordagem à transversalidade do género, no sentido de uma abordagem mais estratégica e multidimensional, não deixando contudo de notar que se trata de uma área em que subsistem enormes desafios. Entre as lições aprendidas colhidas ao longo da implementação do Programa + Género, visando a introdução de uma perspectiva de planificação e orçamentação sensível ao género (POSG), destaca-se a importância da disponibilidade de dados, a centralidade dos processos de planificação, seguimento e avaliação, bem como a importância de focalizar as intervenções nas instituições. Afigura-se essencial continuar a sensibilizar as/os decisores e técnicos, sobretudo as/os das instâncias com maiores responsabilidades no sistema de planificação em Cabo Verde, bem como a articulação e parceria técnica para a apropriação de ferramentas teóricas e metodológicas à altura da tarefa. De referir a este respeito a recomendação emitida pelo Comité CEDAW ao Estado de Cabo Verde, de reforçar a entidade de género, com vista a aumentar a cooperação técnica e financeira com os sectores, garantindo a eficácia do sistema de pontos focais, bem como o reforço da transversalização da abordagem de género a outros níveis, incluindo a nível local.</w:t>
      </w:r>
    </w:p>
    <w:p w:rsidR="004F127D" w:rsidRPr="00C90523" w:rsidRDefault="004F127D" w:rsidP="00313BA1">
      <w:pPr>
        <w:spacing w:after="0"/>
        <w:jc w:val="both"/>
        <w:rPr>
          <w:rFonts w:cs="Verdana"/>
          <w:lang w:eastAsia="de-DE"/>
        </w:rPr>
      </w:pPr>
    </w:p>
    <w:p w:rsidR="004F127D" w:rsidRPr="00861276" w:rsidRDefault="004F127D" w:rsidP="00313BA1">
      <w:pPr>
        <w:spacing w:after="0"/>
        <w:jc w:val="both"/>
        <w:rPr>
          <w:rFonts w:cs="Verdana"/>
          <w:lang w:eastAsia="de-DE"/>
        </w:rPr>
      </w:pPr>
      <w:r w:rsidRPr="00C90523">
        <w:rPr>
          <w:rFonts w:cs="Verdana"/>
          <w:lang w:eastAsia="de-DE"/>
        </w:rPr>
        <w:t>Para além da colaboração com os vários sectores, o ICIEG colabora com as instituições congéneres que conformam o quadro institucional dos direitos humanos em Cabo Verde, nomeadamente o ICCA - Instituto Cabo-verdiano da Crianç</w:t>
      </w:r>
      <w:r w:rsidRPr="00861276">
        <w:rPr>
          <w:rFonts w:cs="Verdana"/>
          <w:lang w:eastAsia="de-DE"/>
        </w:rPr>
        <w:t>a e do Adolescente, estabelecido em 1982, e a CNDHC - Comissão Nacional para os Direitos Humanos e Cidadania, estabelecida em 2004.</w:t>
      </w:r>
    </w:p>
    <w:p w:rsidR="004F127D" w:rsidRPr="00C90523" w:rsidRDefault="004F127D" w:rsidP="00313BA1">
      <w:pPr>
        <w:spacing w:after="0"/>
        <w:jc w:val="both"/>
      </w:pPr>
    </w:p>
    <w:p w:rsidR="004F127D" w:rsidRPr="00C90523" w:rsidRDefault="004F127D" w:rsidP="00313BA1">
      <w:pPr>
        <w:spacing w:after="0"/>
        <w:jc w:val="both"/>
        <w:rPr>
          <w:rFonts w:cs="Verdana"/>
          <w:lang w:eastAsia="de-DE"/>
        </w:rPr>
      </w:pPr>
      <w:r w:rsidRPr="00C90523">
        <w:t>Além destas, outras instituições têm um papel primordial em matéria de igualdade de género no país, entre as quais o Instituto Nacional de Estatística (INE), enquanto órgão executivo central de produção e difusão das estatísticas oficiais no âmbito do Sistema Nacional de Estatísticas. O INE vem produzindo cada vez mais informações desagregadas por sexo e indicadores específicos no domínio da igualdade de género, o que tem permitido dar visibilidade às desigualdades de género, subsidiar processos de planificação, e medir os progressos ao longo do tempo. O engajamento do INE permitiu a adopção, em 2012, de um conjunto de indicadores de base para o seguimento e avaliação da situação e a criação do Observatório da Igualdade de Género, gerido conjuntamente pelo ICIEG e pelo INE, no âmbito de um protocolo</w:t>
      </w:r>
      <w:r w:rsidRPr="00C90523">
        <w:rPr>
          <w:rFonts w:cs="Verdana"/>
          <w:lang w:eastAsia="de-DE"/>
        </w:rPr>
        <w:t xml:space="preserve"> assinado para o efeito. O Observatório compreende 12 indicadores que espelham 3 esferas fundamentais da autonomia das mulheres: a autonomia na tomada de decisões, a autonomia física e a económica. Adicionalmente um conjunto de 68 indicadores constitui o Sistema Nacional de Indicadores de Género (SNIG), permitindo uma análise mais aprofundada das 3 esferas retidas. </w:t>
      </w:r>
    </w:p>
    <w:p w:rsidR="004F127D" w:rsidRPr="00C90523" w:rsidRDefault="004F127D" w:rsidP="00313BA1">
      <w:pPr>
        <w:spacing w:after="0"/>
        <w:jc w:val="both"/>
        <w:rPr>
          <w:rFonts w:cs="Verdana"/>
          <w:lang w:eastAsia="de-DE"/>
        </w:rPr>
      </w:pPr>
    </w:p>
    <w:p w:rsidR="004F127D" w:rsidRPr="00861276" w:rsidRDefault="004F127D" w:rsidP="00313BA1">
      <w:pPr>
        <w:spacing w:after="0"/>
        <w:jc w:val="both"/>
        <w:rPr>
          <w:rFonts w:cs="Verdana"/>
          <w:lang w:eastAsia="de-DE"/>
        </w:rPr>
      </w:pPr>
      <w:r w:rsidRPr="00C90523">
        <w:rPr>
          <w:rFonts w:cs="Verdana"/>
          <w:lang w:eastAsia="de-DE"/>
        </w:rPr>
        <w:t>Em 2008 foi criado o CIGEF - Centro de Investigação e Formação em Género e Família, uma unidade orgânica da Universidade de Cabo Verde (UniCV), que conjuga a pesquisa, a formação e a intervenção pública, nas áreas de género e família. Conta presentemente com 2 núcleos de pesquisa: núcleo em matéria de Género, Migrações e Desenvolvimento, criado em 2011, e o LIG – Laboratório de Investigação em Género</w:t>
      </w:r>
      <w:r w:rsidRPr="00C90523">
        <w:rPr>
          <w:rStyle w:val="Refdenotaderodap"/>
          <w:rFonts w:cs="Verdana"/>
          <w:lang w:eastAsia="de-DE"/>
        </w:rPr>
        <w:footnoteReference w:id="50"/>
      </w:r>
      <w:r w:rsidRPr="00C90523">
        <w:rPr>
          <w:rFonts w:cs="Verdana"/>
          <w:lang w:eastAsia="de-DE"/>
        </w:rPr>
        <w:t>. O CIGEF vem contribuído para o debate a nível nacional, através de seminá</w:t>
      </w:r>
      <w:r w:rsidRPr="00861276">
        <w:rPr>
          <w:rFonts w:cs="Verdana"/>
          <w:lang w:eastAsia="de-DE"/>
        </w:rPr>
        <w:t>rios nacionais e internacionais, e publicações, visando os estudantes da Universidade e a sociedade em geral.</w:t>
      </w:r>
      <w:r w:rsidRPr="00C90523">
        <w:rPr>
          <w:rStyle w:val="Refdenotaderodap"/>
          <w:rFonts w:cs="Verdana"/>
          <w:lang w:eastAsia="de-DE"/>
        </w:rPr>
        <w:footnoteReference w:id="51"/>
      </w:r>
      <w:r w:rsidRPr="00C90523">
        <w:rPr>
          <w:rFonts w:cs="Verdana"/>
          <w:lang w:eastAsia="de-DE"/>
        </w:rPr>
        <w:t xml:space="preserve"> Com vista à integração transversal da igualdade de género na UniCV, formulou um Plano de Capacitação em Género para o horizonte 2013-2014; tendo em conta as mudanças institucionais havidas, que condicionaram a implementação do Plano, perspectiva-se a sua extensão até 2015.</w:t>
      </w:r>
    </w:p>
    <w:p w:rsidR="004F127D" w:rsidRPr="00C90523" w:rsidRDefault="004F127D" w:rsidP="00313BA1">
      <w:pPr>
        <w:spacing w:after="0"/>
        <w:jc w:val="both"/>
        <w:rPr>
          <w:rFonts w:cs="Verdana"/>
          <w:lang w:eastAsia="de-DE"/>
        </w:rPr>
      </w:pPr>
    </w:p>
    <w:p w:rsidR="004F127D" w:rsidRPr="00C90523" w:rsidRDefault="004F127D" w:rsidP="00313BA1">
      <w:pPr>
        <w:spacing w:after="0"/>
        <w:jc w:val="both"/>
        <w:rPr>
          <w:rFonts w:cs="Verdana"/>
          <w:lang w:eastAsia="de-DE"/>
        </w:rPr>
      </w:pPr>
      <w:r w:rsidRPr="00C90523">
        <w:rPr>
          <w:rFonts w:cs="Verdana"/>
          <w:lang w:eastAsia="de-DE"/>
        </w:rPr>
        <w:t>A nível legislativo, há que destacar a importância da acção da RMP</w:t>
      </w:r>
      <w:r w:rsidR="008A7635" w:rsidRPr="00C90523">
        <w:rPr>
          <w:rFonts w:cs="Verdana"/>
          <w:lang w:eastAsia="de-DE"/>
        </w:rPr>
        <w:t>-</w:t>
      </w:r>
      <w:r w:rsidRPr="00C90523">
        <w:rPr>
          <w:rFonts w:cs="Verdana"/>
          <w:lang w:eastAsia="de-DE"/>
        </w:rPr>
        <w:t>CV – Rede de Mulheres Parlamentares de Cabo Verde, uma das 3 redes temáticas existentes a nível da Assembleia Nacional. A sua acção incide sobre o domínio da participação política das mulheres e, globalmente, no que tange à aprovação de leis e seguimento da sua implementação. Teve por exemplo um papel crucial na elaboração, debate e aprovação da Lei sobre VBG (2010-2011), estando ativamente implicada no seguimento da sua aplicação. A Rede intervém igualmente em matéria de orçamentação sensível ao género, estando previsto um exercício de seguimento da implementação do orçamento de estado nesta perspectiva.</w:t>
      </w:r>
    </w:p>
    <w:p w:rsidR="004F127D" w:rsidRPr="00C90523" w:rsidRDefault="004F127D" w:rsidP="00313BA1">
      <w:pPr>
        <w:spacing w:after="0"/>
        <w:jc w:val="both"/>
        <w:rPr>
          <w:rFonts w:cs="Verdana"/>
          <w:lang w:eastAsia="de-DE"/>
        </w:rPr>
      </w:pPr>
    </w:p>
    <w:p w:rsidR="004F127D" w:rsidRPr="00C90523" w:rsidRDefault="004F127D" w:rsidP="00313BA1">
      <w:pPr>
        <w:spacing w:after="0"/>
        <w:jc w:val="both"/>
        <w:rPr>
          <w:rFonts w:cs="Verdana"/>
          <w:lang w:eastAsia="de-DE"/>
        </w:rPr>
      </w:pPr>
      <w:r w:rsidRPr="00C90523">
        <w:rPr>
          <w:rFonts w:cs="Verdana"/>
          <w:lang w:eastAsia="de-DE"/>
        </w:rPr>
        <w:t xml:space="preserve">As organizações da sociedade civil (OSC) que trabalham na promoção da igualdade de género são importantes aliadas nos esforços de advocacia, e participam nos processos de planificação e na implementação de programas e projectos que materializam os Planos nacionais. A sua presença no terreno </w:t>
      </w:r>
      <w:r w:rsidRPr="00C90523">
        <w:t>permite-lhes uma posição privilegiada junto das mulheres e comunidades. N</w:t>
      </w:r>
      <w:r w:rsidRPr="00C90523">
        <w:rPr>
          <w:rFonts w:eastAsia="Times New Roman" w:cs="Calibri"/>
        </w:rPr>
        <w:t xml:space="preserve">os últimos cinco anos, vem aumentando a participação dos homens no activismo de género: a criação da Rede Laço Branco em particular tem permitido o seu envolvimento proactivo, que tem contribuído para a mobilização social, com enfoque nos homens jovens e adolescentes. </w:t>
      </w:r>
      <w:r w:rsidRPr="00C90523">
        <w:rPr>
          <w:rFonts w:cs="Verdana"/>
          <w:lang w:eastAsia="de-DE"/>
        </w:rPr>
        <w:t>De referir que se vêm estabelecendo nos últimos anos núcleos específicos vocacionados para as questões das mulheres em associações defensoras dos direitos de grupos específicos, como é o caso da Associação Cabo-verdiana de Deficientes e da Rede de Pessoas Vivendo com VIH. Existem também núcleos do tipo em instituições sindicais e associações profissionais.</w:t>
      </w:r>
    </w:p>
    <w:p w:rsidR="004F127D" w:rsidRPr="00C90523" w:rsidRDefault="004F127D" w:rsidP="00313BA1">
      <w:pPr>
        <w:spacing w:after="0"/>
        <w:jc w:val="both"/>
        <w:rPr>
          <w:rFonts w:cs="Verdana"/>
          <w:lang w:eastAsia="de-DE"/>
        </w:rPr>
      </w:pPr>
    </w:p>
    <w:p w:rsidR="004F127D" w:rsidRPr="00C90523" w:rsidRDefault="004F127D" w:rsidP="004F127D">
      <w:pPr>
        <w:contextualSpacing/>
        <w:jc w:val="both"/>
      </w:pPr>
      <w:r w:rsidRPr="00C90523">
        <w:t>A avaliação do PNIEG destacou, entre os fatores que contribuíram para o sucesso da sua implementação, a promoção de parcerias, permitindo uma relação participativa e de colaboração entre governo e sociedade civil, tendo o</w:t>
      </w:r>
      <w:r w:rsidRPr="00C90523">
        <w:rPr>
          <w:rFonts w:cs="Verdana"/>
          <w:lang w:eastAsia="de-DE"/>
        </w:rPr>
        <w:t xml:space="preserve"> Comité CEDAW parabenizado o Estado de Cabo Verde pela cooperação próxima que existe entre o ICIEG e sociedade civil, e a capitalização do trabalho em rede. Nesse sentido, conforme recomendação da avaliação do PNIEG, tendo em conta o mandato do ICIEG e para um maior foco da acção, caberá ao </w:t>
      </w:r>
      <w:r w:rsidRPr="00C90523">
        <w:t xml:space="preserve">ICIEG concentrar os seus esforços nos trabalhos de coordenação, articulação e transferência de capacidades a nível macro, bem como de seguimento e avaliação, fortalecendo e ampliando as parcerias para que as instituições e organizações locais reforcem o trabalho a nível local. O que implica o fortalecimento técnico e financeiro das organizações parceiras, bem como do próprio ICIEG. </w:t>
      </w:r>
    </w:p>
    <w:p w:rsidR="004F127D" w:rsidRPr="00C90523" w:rsidRDefault="004F127D" w:rsidP="004F127D">
      <w:pPr>
        <w:contextualSpacing/>
        <w:jc w:val="both"/>
      </w:pPr>
    </w:p>
    <w:p w:rsidR="004F127D" w:rsidRPr="00C90523" w:rsidRDefault="004F127D" w:rsidP="00313BA1">
      <w:pPr>
        <w:spacing w:after="0"/>
        <w:contextualSpacing/>
        <w:jc w:val="both"/>
      </w:pPr>
      <w:r w:rsidRPr="00C90523">
        <w:t>As limitações financeiras afectam tanto o ICIEG como as organizações da sociedade civil (OSC) de forma recorrente, e condicionam a disponibilidade de recursos humanos, a implementação de programas e projectos, bem como a coordenação e articulação regular. Verifica-se para além disso que a escassez de fundos se têm agravado nos últimos 3 anos. O orçamento do ICIEG é resultado de uma estratégia de mobilização de recursos e, consequentemente implica a dependência de apoios internacionais. A redução das verbas do orçamento de investimento tem de ser equacionada no seu contexto mais amplo, de um país em transição, já que o nível de renda per capita influencia os níveis de ajuda pública ao desenvolvimento.</w:t>
      </w:r>
      <w:r w:rsidRPr="00C90523">
        <w:rPr>
          <w:rStyle w:val="Refdenotaderodap"/>
        </w:rPr>
        <w:footnoteReference w:id="52"/>
      </w:r>
      <w:r w:rsidRPr="00C90523">
        <w:t xml:space="preserve"> Situação que tem afectado a capacidade de intervenção do ICIEG, tendo em conta que as OSCs – parceiras de implementação dos planos e programas no terreno, não têm sido contempladas com fundos para a implementação de projectos.</w:t>
      </w:r>
      <w:r w:rsidRPr="00C90523">
        <w:rPr>
          <w:rStyle w:val="Refdenotaderodap"/>
        </w:rPr>
        <w:footnoteReference w:id="53"/>
      </w:r>
      <w:r w:rsidRPr="00C90523">
        <w:t xml:space="preserve"> Neste contexto, para além de trabalhar para uma maior assunção do financiamento mediante recursos nacionais, haverá que repensar a estratégia de mobilização de recursos tendo em conta as modalidad</w:t>
      </w:r>
      <w:r w:rsidRPr="00861276">
        <w:t>es de cooperação para o desenvolvimento a que Cabo Verde pode ter acesso.</w:t>
      </w:r>
      <w:r w:rsidRPr="00C90523">
        <w:rPr>
          <w:rStyle w:val="Refdenotaderodap"/>
        </w:rPr>
        <w:footnoteReference w:id="54"/>
      </w:r>
    </w:p>
    <w:p w:rsidR="004F127D" w:rsidRPr="00861276" w:rsidRDefault="004F127D" w:rsidP="00313BA1">
      <w:pPr>
        <w:spacing w:after="0"/>
        <w:jc w:val="both"/>
        <w:rPr>
          <w:rFonts w:ascii="Calibri" w:hAnsi="Calibri"/>
        </w:rPr>
      </w:pPr>
    </w:p>
    <w:p w:rsidR="004F127D" w:rsidRPr="00C90523" w:rsidRDefault="006568A3" w:rsidP="00E60FC4">
      <w:pPr>
        <w:pStyle w:val="Cabealho3"/>
        <w:jc w:val="both"/>
      </w:pPr>
      <w:bookmarkStart w:id="71" w:name="_Toc402442243"/>
      <w:bookmarkStart w:id="72" w:name="_Toc406667293"/>
      <w:r w:rsidRPr="006568A3">
        <w:t>2.2.3 Programas e políticas específicas para a igualdade de género</w:t>
      </w:r>
      <w:bookmarkEnd w:id="71"/>
      <w:bookmarkEnd w:id="72"/>
    </w:p>
    <w:p w:rsidR="004F127D" w:rsidRPr="00C90523" w:rsidRDefault="004F127D" w:rsidP="00313BA1">
      <w:pPr>
        <w:spacing w:after="0"/>
      </w:pPr>
    </w:p>
    <w:p w:rsidR="004F127D" w:rsidRPr="00C90523" w:rsidRDefault="006568A3" w:rsidP="00243978">
      <w:pPr>
        <w:pStyle w:val="PargrafodaLista"/>
        <w:numPr>
          <w:ilvl w:val="0"/>
          <w:numId w:val="29"/>
        </w:numPr>
        <w:spacing w:after="0" w:line="240" w:lineRule="auto"/>
        <w:ind w:left="284" w:hanging="284"/>
        <w:rPr>
          <w:b/>
        </w:rPr>
      </w:pPr>
      <w:r w:rsidRPr="006568A3">
        <w:rPr>
          <w:b/>
        </w:rPr>
        <w:t xml:space="preserve">A política de género a nível nacional </w:t>
      </w:r>
    </w:p>
    <w:p w:rsidR="004F127D" w:rsidRPr="00C90523" w:rsidRDefault="004F127D" w:rsidP="00313BA1">
      <w:pPr>
        <w:spacing w:after="0"/>
        <w:rPr>
          <w:b/>
        </w:rPr>
      </w:pPr>
    </w:p>
    <w:p w:rsidR="004F127D" w:rsidRPr="00C90523" w:rsidRDefault="004F127D" w:rsidP="00313BA1">
      <w:pPr>
        <w:spacing w:after="0"/>
        <w:jc w:val="both"/>
      </w:pPr>
      <w:r w:rsidRPr="00C90523">
        <w:t>Como previsto pelo DERCP III,</w:t>
      </w:r>
      <w:r w:rsidRPr="00C90523">
        <w:rPr>
          <w:color w:val="FF0000"/>
        </w:rPr>
        <w:t xml:space="preserve"> </w:t>
      </w:r>
      <w:r w:rsidRPr="00C90523">
        <w:t>o ICIEG elaborou o presente PNIG, enquanto</w:t>
      </w:r>
      <w:r w:rsidRPr="00861276">
        <w:t xml:space="preserve"> Plano Estratégico para a operacionalização da política de género. O PNIG está alinhado à agenda estratégica nacional de desenvolvimento. Conforme opção do país, propõe medidas para a integração transversal da abordagem de género na planificaç</w:t>
      </w:r>
      <w:r w:rsidRPr="00C90523">
        <w:t xml:space="preserve">ão estratégica e sectorial, e sua institucionalização a vários níveis, com vista a alcançar </w:t>
      </w:r>
      <w:r w:rsidRPr="00C90523">
        <w:rPr>
          <w:iCs/>
        </w:rPr>
        <w:t xml:space="preserve">mudanças qualitativas de comportamentos e atitudes face ao papel de mulheres e homens na sociedade cabo-verdiana. </w:t>
      </w:r>
      <w:r w:rsidRPr="00C90523">
        <w:t>O presente PNIG insere-se na linha de continuidade de anteriores instrumentos de materialização da política de género do país, que de forma geral têm dotado as instituições públicas, da sociedade civil e os parceiros de um quadro de intervenção coerente e sistemático no domínio da igualdade de género. Estes documentos têm permitido mobilizar fundos junto de diferentes parceiros de desenvolvimento e as respectivas avaliações têm contribuído para a reorientação da planificação.</w:t>
      </w:r>
    </w:p>
    <w:p w:rsidR="004F127D" w:rsidRPr="00C90523" w:rsidRDefault="004F127D" w:rsidP="00313BA1">
      <w:pPr>
        <w:spacing w:after="0"/>
        <w:jc w:val="both"/>
      </w:pPr>
    </w:p>
    <w:p w:rsidR="004F127D" w:rsidRPr="00C90523" w:rsidRDefault="004F127D" w:rsidP="00313BA1">
      <w:pPr>
        <w:spacing w:after="0"/>
        <w:jc w:val="both"/>
      </w:pPr>
      <w:r w:rsidRPr="00C90523">
        <w:t>Os antecedentes das políticas de género em Cabo Verde remontam à criação do Instituto da Condição Feminina (ICF), com a aprovação do Plano de Acção Nacional de Promoção da Mulher (1996-2000). Seguiu-se-lhe o Plano Nacional de Igualdade e Equidade de Género (PNIEG, 2005-2011), elaborado sob o marco do ICIEG. O 1º Plano Nacional de combate à VBG (PNVBG. 2008-2011) foi elaborado em finais de 2007, como subproduto do PNIEG e, em 2011, o PNIEG dá lugar a um terceiro plano em matéria de igualdade de género, o Programa de Ação para a Promoção da Igualdade de Género (PAPIG, 2011-2013).</w:t>
      </w:r>
    </w:p>
    <w:p w:rsidR="004F127D" w:rsidRPr="00C90523" w:rsidRDefault="004F127D" w:rsidP="00313BA1">
      <w:pPr>
        <w:spacing w:after="0"/>
        <w:jc w:val="both"/>
      </w:pPr>
    </w:p>
    <w:p w:rsidR="004F127D" w:rsidRPr="00C90523" w:rsidRDefault="004F127D" w:rsidP="00313BA1">
      <w:pPr>
        <w:spacing w:after="0"/>
        <w:jc w:val="both"/>
      </w:pPr>
      <w:r w:rsidRPr="00C90523">
        <w:t xml:space="preserve">O PNIEG (2005-2011) organizou-se em torno de três sectores, desdobrando-se em áreas de intervenção: (i) sector económico (pobreza, trabalho e emprego), (ii) sector social (educação, saúde e VBG), (iii) sector público (exercício do poder e tomada de decisões, comunicação social). O PNIEG, inicialmente previsto para o período 2005-2009, foi avaliado a meio percurso e estendido até 2011. </w:t>
      </w:r>
    </w:p>
    <w:p w:rsidR="004F127D" w:rsidRPr="00C90523" w:rsidRDefault="004F127D" w:rsidP="00313BA1">
      <w:pPr>
        <w:spacing w:after="0"/>
        <w:jc w:val="both"/>
      </w:pPr>
    </w:p>
    <w:p w:rsidR="004F127D" w:rsidRPr="00C90523" w:rsidRDefault="004F127D" w:rsidP="00313BA1">
      <w:pPr>
        <w:shd w:val="clear" w:color="auto" w:fill="D9D9D9" w:themeFill="background1" w:themeFillShade="D9"/>
        <w:spacing w:after="0"/>
        <w:ind w:left="284" w:right="284"/>
        <w:jc w:val="center"/>
        <w:rPr>
          <w:b/>
          <w:bCs/>
          <w:color w:val="FF0000"/>
          <w:sz w:val="18"/>
          <w:szCs w:val="18"/>
        </w:rPr>
      </w:pPr>
      <w:r w:rsidRPr="00C90523">
        <w:rPr>
          <w:b/>
          <w:bCs/>
          <w:sz w:val="18"/>
          <w:szCs w:val="18"/>
        </w:rPr>
        <w:t>PRINCIPAIS RESULTADOS DO PNIEG 2005-2011</w:t>
      </w:r>
    </w:p>
    <w:p w:rsidR="004F127D" w:rsidRPr="00C90523" w:rsidRDefault="004F127D" w:rsidP="004F127D">
      <w:pPr>
        <w:shd w:val="clear" w:color="auto" w:fill="D9D9D9" w:themeFill="background1" w:themeFillShade="D9"/>
        <w:ind w:left="284" w:right="284"/>
        <w:jc w:val="both"/>
        <w:rPr>
          <w:sz w:val="18"/>
          <w:szCs w:val="18"/>
        </w:rPr>
      </w:pPr>
      <w:r w:rsidRPr="00C90523">
        <w:rPr>
          <w:sz w:val="18"/>
          <w:szCs w:val="18"/>
        </w:rPr>
        <w:t>O PNIEG contribuiu para:</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rPr>
          <w:sz w:val="18"/>
          <w:szCs w:val="18"/>
        </w:rPr>
      </w:pPr>
      <w:r w:rsidRPr="00C90523">
        <w:rPr>
          <w:sz w:val="18"/>
          <w:szCs w:val="18"/>
        </w:rPr>
        <w:t>O desenvolvimento das competências, tanto do governo quanto das ONGs, em termos de conhecimentos técnicos e capacidade de gestão, trabalho em rede e atendimento ao público-alvo, melhorando os serviços disponíveis à população em matéria de equidade e igualdade de género.</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 xml:space="preserve">Avanços importantes na adopção de dados desagregados por sexo, em particular no trabalho do INE e nas pesquisas realizadas por outras organizações públicas. </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 xml:space="preserve">A nível de legislação houve criação e revisão de leis que vieram abordar explicitamente os direitos das mulheres e/ou medidas de equidade. </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 xml:space="preserve">Perante a necessidade de priorização das áreas de actuação, face aos meios disponíveis, alguns dos eixos do PNIEG foram priorizados, nomeadamente o da VBG, enquanto porta de entrada abrangente, seguindo-se-lhe os da educação, saúde, comunicação social, participação política e transversalização, em detrimento, até certo ponto, do eixo de intervenção do sector económico. </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 xml:space="preserve">No caso da VBG, em finais de 2007 foi elaborado um plano de acção, o PNVBG, que operacionalizou o eixo estratégico do PNIEG de combate à VBG para o período 2008-2011. </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 xml:space="preserve">A avaliação do PNIEG nota que o PNVBG, globalmente, adoptou uma abordagem programática, com um marco lógico próprio, permitindo uma atuação mais estratégica para este sector e de captação de recursos específicos para o tema, permitindo implementar um conjunto abrangente de atividades e atingir um número significativo de beneficiários. </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 xml:space="preserve">Os cincos eixos de intervenção do PNVBG previam uma acção a nível da (i) vertente jurídico-legal e institucional, (ii) prevenção, (iii) protecção das vítimas, (iv) repressão e reinserção social e psicológica das vítimas e agressores e (v) IEC/mudança de comportamentos. </w:t>
      </w:r>
    </w:p>
    <w:p w:rsidR="004F127D" w:rsidRPr="00C90523" w:rsidRDefault="004F127D" w:rsidP="00243978">
      <w:pPr>
        <w:pStyle w:val="PargrafodaLista"/>
        <w:numPr>
          <w:ilvl w:val="0"/>
          <w:numId w:val="18"/>
        </w:numPr>
        <w:shd w:val="clear" w:color="auto" w:fill="D9D9D9" w:themeFill="background1" w:themeFillShade="D9"/>
        <w:spacing w:after="0" w:line="240" w:lineRule="auto"/>
        <w:ind w:right="284"/>
        <w:jc w:val="both"/>
      </w:pPr>
      <w:r w:rsidRPr="00C90523">
        <w:rPr>
          <w:sz w:val="18"/>
          <w:szCs w:val="18"/>
        </w:rPr>
        <w:t>Os avanços foram substanciais, em particular em três dos eixos, a saber a nível da legislação, do apoio e protecção às vítimas, e da prevenção, incluindo o reforço do engajamento de homens no combate à VBG.</w:t>
      </w:r>
      <w:r w:rsidRPr="00C90523">
        <w:t xml:space="preserve"> </w:t>
      </w:r>
    </w:p>
    <w:p w:rsidR="004F127D" w:rsidRPr="00C90523" w:rsidRDefault="004F127D" w:rsidP="004F127D">
      <w:pPr>
        <w:shd w:val="clear" w:color="auto" w:fill="D9D9D9" w:themeFill="background1" w:themeFillShade="D9"/>
        <w:ind w:left="284" w:right="284"/>
        <w:jc w:val="both"/>
        <w:rPr>
          <w:i/>
          <w:iCs/>
          <w:sz w:val="16"/>
          <w:szCs w:val="16"/>
        </w:rPr>
      </w:pPr>
      <w:r w:rsidRPr="00C90523">
        <w:rPr>
          <w:sz w:val="16"/>
          <w:szCs w:val="16"/>
        </w:rPr>
        <w:t xml:space="preserve">FONTE: </w:t>
      </w:r>
      <w:r w:rsidRPr="00C90523">
        <w:rPr>
          <w:i/>
          <w:iCs/>
          <w:sz w:val="16"/>
          <w:szCs w:val="16"/>
        </w:rPr>
        <w:t>Relatório de Avaliação Final de Implementação da política de Género em Cabo Verde: Plano Nacional para a Igualdade e Equidade de Género 2005–2011. Plano Nacional para o Combate à Violência Baseada no Género 2008–2011.</w:t>
      </w:r>
    </w:p>
    <w:p w:rsidR="004F127D" w:rsidRPr="00C90523" w:rsidRDefault="004F127D" w:rsidP="00313BA1">
      <w:pPr>
        <w:spacing w:after="0"/>
        <w:jc w:val="both"/>
      </w:pPr>
    </w:p>
    <w:p w:rsidR="004F127D" w:rsidRPr="00C90523" w:rsidRDefault="004F127D" w:rsidP="00313BA1">
      <w:pPr>
        <w:spacing w:after="0"/>
        <w:jc w:val="both"/>
      </w:pPr>
      <w:r w:rsidRPr="00C90523">
        <w:t>De referir que, em virtude do novo quadro legal da VBG, o 2º PNVBG (2012-2016) foi elaborado de forma autónoma. Com efeito, encontra-se ancorado na Lei VBG, que atribui responsabilidades claras a vários sectores, quais sejam o Ministério da Administração Interna, Ministério da Justiça e Ministério da Saúde, entre outros, e que define as várias estruturas que devem ser criadas, de protecção, apoio e reinserção a vítimas e autores de VBG. Assim, no que tange ao domínio da VBG, o PNIG remete para o PNVBG, e os eixos, objectivos, medidas estratégicas, indicadores e quadro operacional por ele definidos.</w:t>
      </w:r>
    </w:p>
    <w:p w:rsidR="004F127D" w:rsidRPr="00C90523" w:rsidRDefault="004F127D" w:rsidP="00313BA1">
      <w:pPr>
        <w:spacing w:after="0"/>
        <w:jc w:val="both"/>
      </w:pPr>
    </w:p>
    <w:p w:rsidR="004F127D" w:rsidRPr="00C90523" w:rsidRDefault="004F127D" w:rsidP="00313BA1">
      <w:pPr>
        <w:spacing w:after="0"/>
        <w:jc w:val="both"/>
      </w:pPr>
      <w:r w:rsidRPr="00C90523">
        <w:t xml:space="preserve">De 2011 ao presente vigorou o PAPIG – Programa de Ação para a Promoção da Igualdade de Género, visando uma planificação adequada ao período de transição, tendo em conta o fim do período de implementação do PNIEG, as eleições legislativas de 2011 e necessidade de alinhamento da política de género ao Programa do Governo para a nova legislatura e ao DECRP III, bem como o primeiro ano de implementação da Lei Especial sobre VBG, que definiu competências acrescidas para o ICIEG, incluindo de apoio aos parceiros institucionais no esforço de adaptação institucional. O PAPIG definiu 5 áreas de acção, a saber a (i) a implementação da Lei VBG, (ii) reforço Institucional, (iii) transversalização da abordagem género, (iv) educação e comunicação para a mudança, e (v) oportunidades económicas. </w:t>
      </w:r>
    </w:p>
    <w:p w:rsidR="004F127D" w:rsidRPr="00C90523" w:rsidRDefault="004F127D" w:rsidP="004F127D">
      <w:pPr>
        <w:jc w:val="both"/>
      </w:pPr>
    </w:p>
    <w:p w:rsidR="004F127D" w:rsidRPr="00C90523" w:rsidRDefault="006568A3" w:rsidP="00243978">
      <w:pPr>
        <w:pStyle w:val="PargrafodaLista"/>
        <w:numPr>
          <w:ilvl w:val="0"/>
          <w:numId w:val="29"/>
        </w:numPr>
        <w:spacing w:after="0" w:line="240" w:lineRule="auto"/>
        <w:ind w:left="284" w:hanging="284"/>
        <w:rPr>
          <w:b/>
        </w:rPr>
      </w:pPr>
      <w:r w:rsidRPr="006568A3">
        <w:rPr>
          <w:b/>
        </w:rPr>
        <w:t xml:space="preserve">Planificação de género a nível local </w:t>
      </w:r>
    </w:p>
    <w:p w:rsidR="004F127D" w:rsidRPr="00C90523" w:rsidRDefault="004F127D" w:rsidP="00E60FC4">
      <w:pPr>
        <w:spacing w:after="0"/>
        <w:jc w:val="both"/>
      </w:pPr>
    </w:p>
    <w:p w:rsidR="004F127D" w:rsidRPr="00C90523" w:rsidRDefault="004F127D" w:rsidP="004F127D">
      <w:pPr>
        <w:spacing w:after="0"/>
        <w:jc w:val="both"/>
      </w:pPr>
      <w:r w:rsidRPr="00861276">
        <w:t>A nível municipal, desde 2008, alguns Município desenvo</w:t>
      </w:r>
      <w:r w:rsidRPr="00C90523">
        <w:t xml:space="preserve">lveram PMIEGs - Planos Municipais para a Igualdade e Equidade de Género. Os PMIEG tratam a questão de género em todos os aspectos do governo municipal, inclusive no orçamento, e sua elaboração, apoiada pelo ICIEG, segue o mesmo modelo participativo e de formação de parcerias adoptadas no âmbito do PNIEG. Duas Câmaras Municipais (Praia e Paul) implementaram os seus PMIEGs. Também os municípios de Santa Catarina e São Lourenço beneficiaram de assistência técnica em processos semelhantes, existindo demanda para a preparação de planos em outros municípios. </w:t>
      </w:r>
    </w:p>
    <w:p w:rsidR="004F127D" w:rsidRPr="00C90523" w:rsidRDefault="004F127D" w:rsidP="004F127D">
      <w:pPr>
        <w:spacing w:after="0"/>
        <w:jc w:val="both"/>
      </w:pPr>
    </w:p>
    <w:p w:rsidR="004F127D" w:rsidRPr="00C90523" w:rsidRDefault="004F127D" w:rsidP="004F127D">
      <w:pPr>
        <w:spacing w:after="0"/>
        <w:jc w:val="both"/>
      </w:pPr>
      <w:r w:rsidRPr="00C90523">
        <w:t>Em 2013/2014 surge a Agenda de Género do município de São Miguel, que pretende ser um instrumento de tomada de consciência dos partidos políticos e instituições quanto ao seu desempenho sobre as questões que preocupam mulheres/meninas e a igualdade de género. A elaboração de uma Agenda de Género começa com a (i) criação de uma coligação de mulheres eleitas e candidatas às últimas eleições autárquicas de 201, ou seja um grupo de mulheres engajadas com a ação político-partidária, numa lógica suprapartidária; (ii) o reforço das suas capacidades (formação em género, desenvolvimento local, intervenção comunitária); (iii) a realização de consultas a nível local, com base numa metodologia de diagnóstico participativo (recolha com grupos de mulheres e lideranças das comunidades); (iv) a sistematização das informações e elaboração do relatório final – a Agenda de Género. Este diagnóstico irá informar o Plano do Município de São Miguel, no sentido de nele transversalizar uma abordagem de género. Uma segunda Agenda, da coligação de mulheres eleitas e candidatas da Praia, foi entretanto finalizada e apresentada publicamente.</w:t>
      </w:r>
    </w:p>
    <w:p w:rsidR="004F127D" w:rsidRPr="00C90523" w:rsidRDefault="004F127D" w:rsidP="004F127D">
      <w:pPr>
        <w:contextualSpacing/>
        <w:jc w:val="both"/>
        <w:rPr>
          <w:rFonts w:ascii="Calibri" w:hAnsi="Calibri"/>
        </w:rPr>
      </w:pPr>
    </w:p>
    <w:p w:rsidR="004F127D" w:rsidRPr="00C90523" w:rsidRDefault="004F127D" w:rsidP="004F127D">
      <w:pPr>
        <w:contextualSpacing/>
        <w:jc w:val="both"/>
        <w:rPr>
          <w:rFonts w:ascii="Calibri" w:hAnsi="Calibri"/>
        </w:rPr>
      </w:pPr>
      <w:r w:rsidRPr="00C90523">
        <w:rPr>
          <w:rFonts w:ascii="Calibri" w:hAnsi="Calibri"/>
        </w:rPr>
        <w:t>As Câmaras Municipais vêm sendo parceiras de várias iniciativas locais, em conjunto com a sociedade civil, em particular no domínio da VBG. Hoje são várias as Câmaras que contam entre o seu executivo com vereadores/as responsáveis por uma pasta de igualdade de género (ou condição feminina), ilustrando a progressiva assunção desta temática na agenda do poder local. Existe potencial para o reforço da parceria no âmbito do presente Plano, incluindo o reforço do papel da Associação Nacional de Municípios de Cabo verde (ANMCV). A parceria com o poder local, como no caso da sociedade civil, traz a mais-valia do posicionamento no terreno, junto às populações, tendo em conta a importância de combater os estereótipos de género e promover a mudança de atitudes e práticas a nível comunitário.</w:t>
      </w:r>
    </w:p>
    <w:p w:rsidR="004F127D" w:rsidRPr="00C90523" w:rsidRDefault="004F127D" w:rsidP="004F127D">
      <w:pPr>
        <w:contextualSpacing/>
        <w:jc w:val="both"/>
        <w:rPr>
          <w:rFonts w:ascii="Calibri" w:hAnsi="Calibri"/>
        </w:rPr>
      </w:pPr>
    </w:p>
    <w:p w:rsidR="004F127D" w:rsidRPr="00C90523" w:rsidRDefault="006568A3" w:rsidP="00E60FC4">
      <w:pPr>
        <w:pStyle w:val="Cabealho3"/>
      </w:pPr>
      <w:bookmarkStart w:id="73" w:name="_Toc402442244"/>
      <w:bookmarkStart w:id="74" w:name="_Toc406667294"/>
      <w:r w:rsidRPr="006568A3">
        <w:t>2.2.4. A igualdade de género nas políticas sectoriais</w:t>
      </w:r>
      <w:bookmarkEnd w:id="73"/>
      <w:bookmarkEnd w:id="74"/>
    </w:p>
    <w:p w:rsidR="004F127D" w:rsidRPr="00C90523" w:rsidRDefault="004F127D" w:rsidP="004F127D">
      <w:pPr>
        <w:spacing w:after="0"/>
        <w:jc w:val="both"/>
      </w:pPr>
    </w:p>
    <w:p w:rsidR="004F127D" w:rsidRPr="00C90523" w:rsidRDefault="004F127D" w:rsidP="00313BA1">
      <w:pPr>
        <w:spacing w:after="0"/>
        <w:jc w:val="both"/>
      </w:pPr>
      <w:r w:rsidRPr="00861276">
        <w:t>As diferentes polí</w:t>
      </w:r>
      <w:r w:rsidRPr="00C90523">
        <w:t>ticas e estratégias sectoriais estão articuladas ao DECRP III, pelo que é importante enquadrar a forma como o mesmo materializa a visão do Programa do Governo e a Agenda de Transformação. O DECRP III foca o desenvolvimento dos sete (7) “clusters” de competitividade: Turismo, Economia Marítima, Aero Negócios, TIC, Finanças, Economias Criativas, e Agro-negócios. Os clusters do agro-negócio, turismo e economia marítima têm prioridade máxima, devido ao seu potencial de impacto na redução de pobreza e geração de crescimento, sendo o segundo grupo constituído pelos clusters TIC e economia criativa, e em terceira posição os clusters de serviços financeiros e aero-negócios.</w:t>
      </w:r>
    </w:p>
    <w:p w:rsidR="004F127D" w:rsidRPr="00C90523" w:rsidRDefault="004F127D" w:rsidP="00313BA1">
      <w:pPr>
        <w:spacing w:after="0"/>
        <w:jc w:val="both"/>
      </w:pPr>
    </w:p>
    <w:p w:rsidR="004F127D" w:rsidRPr="00C90523" w:rsidRDefault="004F127D" w:rsidP="00313BA1">
      <w:pPr>
        <w:spacing w:after="0"/>
        <w:jc w:val="both"/>
      </w:pPr>
      <w:r w:rsidRPr="00C90523">
        <w:t xml:space="preserve">Para concretizar a agenda de transformação, o DECRP III identifica 5 eixos de intervenção de estratégica que constituem a substância da intervenção pública para o período 2012-2016, com vista a apoiar a promoção dos clusters de competitividade: a saber infra-estruturação, capital humano, boa governação, reforço do sector privado, e afirmar a nação global. Decorrem dos principais desafios identificados, nomeadamente construir uma economia dinâmica, competitiva e inovadora com prosperidade partilhada por todos; fomentar o crescimento do sector privado, do investimento e da produtividade; promover o desenvolvimento e a coesão social e facilitar o acesso aos serviços básicos; capacitar os recursos humanos e produzir conhecimento que propicie o crescimento económico; consolidar a democracia, aprofundar as liberdades e reforçar a boa governação; modernizar e estender as infra-estruturas; e afirmar a Nação Global e desenvolver parcerias para a competitividade. </w:t>
      </w:r>
    </w:p>
    <w:p w:rsidR="004F127D" w:rsidRPr="00C90523" w:rsidRDefault="004F127D" w:rsidP="00313BA1">
      <w:pPr>
        <w:spacing w:after="0"/>
        <w:jc w:val="both"/>
      </w:pPr>
    </w:p>
    <w:p w:rsidR="00E60FC4" w:rsidRPr="00C90523" w:rsidRDefault="00E60FC4" w:rsidP="00313BA1">
      <w:pPr>
        <w:spacing w:after="0"/>
        <w:jc w:val="both"/>
        <w:rPr>
          <w:b/>
          <w:i/>
        </w:rPr>
      </w:pPr>
    </w:p>
    <w:p w:rsidR="004F127D" w:rsidRPr="00C90523" w:rsidRDefault="006568A3" w:rsidP="00313BA1">
      <w:pPr>
        <w:spacing w:after="0"/>
        <w:jc w:val="both"/>
        <w:rPr>
          <w:i/>
        </w:rPr>
      </w:pPr>
      <w:r w:rsidRPr="006568A3">
        <w:rPr>
          <w:b/>
          <w:i/>
        </w:rPr>
        <w:t>Desenvolvimento rural</w:t>
      </w:r>
    </w:p>
    <w:p w:rsidR="004F127D" w:rsidRPr="00C90523" w:rsidRDefault="004F127D" w:rsidP="00313BA1">
      <w:pPr>
        <w:spacing w:after="0"/>
        <w:jc w:val="both"/>
      </w:pPr>
      <w:r w:rsidRPr="00861276">
        <w:t>O DECRP III prioriza o desenvolvimento do agronegócio e a modernização da agricultura, como estratégias para maximizar as o</w:t>
      </w:r>
      <w:r w:rsidRPr="00C90523">
        <w:t>portunidades de trabalho no mundo rural e de melhorar as condições de subsistência das populações, apoiando a criação de ligações ao mercado, incluindo o ecoturismo. Os documentos de planificação estratégica do sector fazem referência à igualdade de género, veiculando o engajamento com a introdução da abordagem de género, contudo nem sempre detalham suficientemente estratégias que permitam a sua tradução em acção concreta.</w:t>
      </w:r>
      <w:r w:rsidRPr="00C90523">
        <w:rPr>
          <w:rStyle w:val="Refdenotaderodap"/>
        </w:rPr>
        <w:footnoteReference w:id="55"/>
      </w:r>
      <w:r w:rsidRPr="00C90523">
        <w:t xml:space="preserve"> O Censo Agrícola 2014 está em curso e as respectivas reuniões técnicas preparatórias tiveram em c</w:t>
      </w:r>
      <w:r w:rsidRPr="00861276">
        <w:t xml:space="preserve">onta a vertente de género, quer na revisão dos instrumentos de recolha de dado, quer na discussão do plano de análise. A obtenção de dados desagregados/indicadores específicos contribuirão para dar visibilidade à situação das mulheres rurais, </w:t>
      </w:r>
      <w:r w:rsidRPr="00C90523">
        <w:t>compreender as suas condicionantes, e melhorar a capacidade de definição de medidas adequadas. Decorre um projecto para a revisão do ponto de vista do género e das mudanças climáticas do Programa Nacional de Investimento na Agricultura (PNIA), bem como da Estratégia Nacional de Segurança Alimentar (ENSA). Neste contexto foi assinado um protocolo de colaboração (MoU) com o ICIEG. As barragens e o ordenamento das bacias hidrográficas são outra oportunidade de ter um impacto no terreno: os projectos em curso contam com esforços concretos de integração da abordagem de género.</w:t>
      </w:r>
      <w:r w:rsidRPr="00C90523">
        <w:rPr>
          <w:rStyle w:val="Refdenotaderodap"/>
        </w:rPr>
        <w:footnoteReference w:id="56"/>
      </w:r>
      <w:r w:rsidRPr="00C90523">
        <w:t xml:space="preserve"> De referir que está prevista a elaboração de um Plano Estratégico da Pecuária, em 2015: tendo em conta a importância da pecuária no rendimento familiar, deveria integrar uma abordagem de género. </w:t>
      </w:r>
    </w:p>
    <w:p w:rsidR="004F127D" w:rsidRPr="00861276" w:rsidRDefault="004F127D" w:rsidP="00313BA1">
      <w:pPr>
        <w:spacing w:after="0"/>
        <w:jc w:val="both"/>
      </w:pPr>
    </w:p>
    <w:p w:rsidR="00BF6FC3" w:rsidRPr="00C90523" w:rsidRDefault="006568A3" w:rsidP="00313BA1">
      <w:pPr>
        <w:spacing w:after="0"/>
        <w:jc w:val="both"/>
        <w:rPr>
          <w:b/>
          <w:i/>
        </w:rPr>
      </w:pPr>
      <w:r w:rsidRPr="006568A3">
        <w:rPr>
          <w:b/>
          <w:i/>
        </w:rPr>
        <w:t>Programa das Oportunidades Socio-económicas Rurais (POSER)</w:t>
      </w:r>
    </w:p>
    <w:p w:rsidR="00BF6FC3" w:rsidRPr="00C90523" w:rsidRDefault="004F127D" w:rsidP="00BF6FC3">
      <w:pPr>
        <w:spacing w:after="0"/>
        <w:jc w:val="both"/>
        <w:rPr>
          <w:b/>
          <w:i/>
        </w:rPr>
      </w:pPr>
      <w:r w:rsidRPr="00C90523">
        <w:t>Este Programa</w:t>
      </w:r>
      <w:r w:rsidR="00BF6FC3" w:rsidRPr="00C90523">
        <w:t xml:space="preserve">, anteriormente nomeado </w:t>
      </w:r>
      <w:r w:rsidR="006568A3" w:rsidRPr="006568A3">
        <w:rPr>
          <w:b/>
          <w:i/>
        </w:rPr>
        <w:t>Programa Nacional de Luta contra a Pobreza (PNLP)</w:t>
      </w:r>
    </w:p>
    <w:p w:rsidR="004F127D" w:rsidRPr="00C90523" w:rsidRDefault="004F127D" w:rsidP="00313BA1">
      <w:pPr>
        <w:spacing w:after="0"/>
        <w:jc w:val="both"/>
      </w:pPr>
      <w:r w:rsidRPr="00C90523">
        <w:t>é vocacionado para a redução da pobreza no meio rural, com enfoque nas ilhas agrícolas, e conta na sua equipa de g</w:t>
      </w:r>
      <w:r w:rsidRPr="00861276">
        <w:t xml:space="preserve">estão com uma Célula de Género e Animação. Na sequência de uma auditoria de género, realizada com apoio técnico do ICIEG em 2010, o </w:t>
      </w:r>
      <w:r w:rsidR="00BF6FC3" w:rsidRPr="00C90523">
        <w:t xml:space="preserve">POSER </w:t>
      </w:r>
      <w:r w:rsidRPr="00C90523">
        <w:t xml:space="preserve">introduziu uma abordagem de género nos processos de recolha e tratamento de informações, capacitou as suas equipas de gestão, as unidades técnicas do projecto, e os/as animadoras que no dia-a-dia trabalham junto das comunidades. Para além de várias formações em género dos vários intervenientes locais em todas as ilhas/municípios abrangidas pelo programa. As assembleias comunitárias, onde são aprovados os projectos, adoptaram outra metodologia para fomentar a maior participação das mulheres, sendo realizados grupos de discussão separados de mulheres e homens, antes da sessão plenária comum, tendo sido fixada uma presença mínima de 45% de mulheres. A experiência adquirida permitiu que a nova fase de implementação do Programa (2013-2018) integrasse de raiz o género. O </w:t>
      </w:r>
      <w:r w:rsidR="00BF6FC3" w:rsidRPr="00C90523">
        <w:t xml:space="preserve">POSER </w:t>
      </w:r>
      <w:r w:rsidRPr="00C90523">
        <w:t xml:space="preserve">trabalha de forma desconcentrada, através de 9 Comissões Regionais de Pobreza – CRPs, que são estruturas operacionais do programa em diferentes concelhos. A coordenação de género está a apoiar as unidades técnicas de género de cada CRPs na elaboração de planos de acção específicos. O </w:t>
      </w:r>
      <w:r w:rsidR="00BF6FC3" w:rsidRPr="00C90523">
        <w:t xml:space="preserve">POSER </w:t>
      </w:r>
      <w:r w:rsidRPr="00C90523">
        <w:t xml:space="preserve">irá recorrer ao diagnóstico já elaborado em São Miguel (Agenda de Género) para informar a sua planificação neste município e conta replicar este diagnóstico participativo aprofundado noutras zonas de intervenção (metodologia e instrumentos da Agenda de Género, a implementar com o apoio dos activistas formados a nível local no âmbito do projecto anterior. Neste contexto foi firmado um protocolo de colaboração técnica com o ICIEG. A desconcentração do </w:t>
      </w:r>
      <w:r w:rsidR="00BF6FC3" w:rsidRPr="00C90523">
        <w:t xml:space="preserve">POSER </w:t>
      </w:r>
      <w:r w:rsidRPr="00C90523">
        <w:t>é uma mais valia para uma intervenção de cariz socio-económico sensível ao género junto das comunidades.</w:t>
      </w:r>
    </w:p>
    <w:p w:rsidR="004F127D" w:rsidRPr="00C90523" w:rsidRDefault="004F127D" w:rsidP="00313BA1">
      <w:pPr>
        <w:spacing w:after="0"/>
        <w:jc w:val="both"/>
      </w:pPr>
    </w:p>
    <w:p w:rsidR="004F127D" w:rsidRPr="00C90523" w:rsidRDefault="006568A3" w:rsidP="00313BA1">
      <w:pPr>
        <w:spacing w:after="0"/>
        <w:jc w:val="both"/>
        <w:rPr>
          <w:b/>
          <w:i/>
        </w:rPr>
      </w:pPr>
      <w:r w:rsidRPr="006568A3">
        <w:rPr>
          <w:b/>
          <w:i/>
        </w:rPr>
        <w:t xml:space="preserve">Água e saneamento </w:t>
      </w:r>
    </w:p>
    <w:p w:rsidR="0046260E" w:rsidRPr="00C90523" w:rsidRDefault="0046260E" w:rsidP="0046260E">
      <w:pPr>
        <w:shd w:val="clear" w:color="auto" w:fill="FFFFFF"/>
        <w:jc w:val="both"/>
      </w:pPr>
      <w:r w:rsidRPr="00C90523">
        <w:t>Através do Projecto Água, Saneamento e Higiene (WASH) do MCA CV II está em curso desde 2012 um programa abrangente de 5 anos, que integrou de raiz uma perspectiva social e de género (desde a análise da situação à formulação e implementação do programa)</w:t>
      </w:r>
      <w:r w:rsidRPr="00861276">
        <w:t>. O programa têm sido o motor da Reforma das Instituições Nacionais e dos Serviços Municipais de Água e Saneamento, para o estabelecimento de uma base institucional sustentável no sector. O Projecto têm como objectivo geral melhorar a qualidad</w:t>
      </w:r>
      <w:r w:rsidRPr="00C90523">
        <w:t>e dos serviços de abastecimento de água e saneamento às famílias e empresas Cabo-verdianas. Conta com um Plano de Integração Social e de Género que garante a transversalização de género em todas as componentes e actividades do projecto desde processos de elaboração de Termos de Referencia à gestão de contractos. Marcos importantes foram alcançados desde o arranque do projecto nomeadamente: 1)</w:t>
      </w:r>
      <w:r w:rsidR="00C90523">
        <w:t xml:space="preserve"> </w:t>
      </w:r>
      <w:r w:rsidRPr="00C90523">
        <w:t>Foi constituído o Conselho Nacional de Agua e Saneamento onde o ICIEG têm assento reservado bem como uma ONG de promoção da Iguald</w:t>
      </w:r>
      <w:r w:rsidRPr="00861276">
        <w:t>ade de Género; 2) A Agência Nacional de Água e Saneamento, recentemente criada, dispõe de um Gabinete de integração Ambiental Social e de Género e está em curso o recrutamento dos especialista e uma Assistência Técnica internacional especiali</w:t>
      </w:r>
      <w:r w:rsidRPr="00C90523">
        <w:t xml:space="preserve">zada para a sua efectivação; 3) O Plano Estratégico do sector de água e saneamento, horizonte 2020 define metas sociais e de género para o sector e apresenta uma Avaliação Ambiental Social Estratégica com uma matriz sobre riscos e mitigações Sociais e de Género; 4) Os estatutos da nova empresa de distribuição de água “Águas de Santiago” prevê um Gabinete de Questões Sociais e Ligação à Comunidade; 5) Criação  Fundo de Agua e Saneamento, integrando critérios sociais e de género na selecção das propostas e criação do Fundo de Acesso Social, que visa promover a ligação domiciliária de água e saneamento às famílias mais vulneráveis, em especial as chefiadas por mulheres pobres; 6) Indicadores-chave Sociais e de Género do sector de Água e Saneamento foram definidos. O MCA CV II assinou um protocolo de colaboração com o ICIEG, que prevê a prestação de assistência técnica aos parceiros do projecto de água e saneamento., </w:t>
      </w:r>
    </w:p>
    <w:p w:rsidR="0046260E" w:rsidRPr="00C90523" w:rsidRDefault="0046260E" w:rsidP="00313BA1">
      <w:pPr>
        <w:spacing w:after="0"/>
      </w:pPr>
    </w:p>
    <w:p w:rsidR="009B79D5" w:rsidRPr="00C90523" w:rsidRDefault="006568A3">
      <w:pPr>
        <w:spacing w:after="0"/>
        <w:jc w:val="both"/>
        <w:rPr>
          <w:b/>
          <w:i/>
        </w:rPr>
      </w:pPr>
      <w:r w:rsidRPr="006568A3">
        <w:rPr>
          <w:b/>
          <w:i/>
        </w:rPr>
        <w:t xml:space="preserve">Direitos de Propriedade e Habitação </w:t>
      </w:r>
    </w:p>
    <w:p w:rsidR="0046260E" w:rsidRPr="00C90523" w:rsidRDefault="0046260E" w:rsidP="0046260E">
      <w:pPr>
        <w:shd w:val="clear" w:color="auto" w:fill="FFFFFF"/>
        <w:jc w:val="both"/>
      </w:pPr>
      <w:r w:rsidRPr="00C90523">
        <w:t xml:space="preserve">Na área dos direitos de propiedade estão em curso reformas que o governo está a implementar, com o apoio </w:t>
      </w:r>
      <w:r w:rsidR="00E40413" w:rsidRPr="00861276">
        <w:t>do MCA CV II</w:t>
      </w:r>
      <w:r w:rsidRPr="00861276">
        <w:t>,</w:t>
      </w:r>
      <w:r w:rsidR="00E40413" w:rsidRPr="00C90523">
        <w:t xml:space="preserve"> </w:t>
      </w:r>
      <w:r w:rsidRPr="00C90523">
        <w:t>a través d</w:t>
      </w:r>
      <w:r w:rsidR="00E40413" w:rsidRPr="00C90523">
        <w:t>um projecto denominado Gestão de Propriedade para a Promoção do Investimento – que tem como principal objectivo reduzir o tempo e custo associados ao registo de propriedades, visando dar maior segurança jurídica às transacções imobiliárias e ainda promover o aumento do investimento e a produtividade da terra. Neste Quadro o Plano de Integração Social e de Género, permitiu a identificação dos riscos de sociais e de género associados a este projecto e através de estudos e consultorias foram definidas ferramentas sociais e de género para a componente de cadastro das ilhas beneficiadas com o projecto, com vista a garantir os direitos das mulheres em matéria de formalização da propriedade da terra, acesso à informação e participação na tomada de decisões durante o processo, e um sistema de registo que permita a análise social e de género das informações.</w:t>
      </w:r>
    </w:p>
    <w:p w:rsidR="004F127D" w:rsidRPr="00C90523" w:rsidRDefault="004F127D" w:rsidP="00313BA1">
      <w:pPr>
        <w:spacing w:after="0"/>
        <w:jc w:val="both"/>
      </w:pPr>
      <w:r w:rsidRPr="00C90523">
        <w:t>O quadro legal relativo à propriedade de habitação de interesse social salvaguarda o papel das mulheres enquanto chefes de família. As casas de interesse social já atribuídas pelo Programa Casa Para Todos (676) contemplam em 58% dos casos mulheres chefes de família.</w:t>
      </w:r>
    </w:p>
    <w:p w:rsidR="004F127D" w:rsidRPr="00C90523" w:rsidRDefault="004F127D" w:rsidP="00313BA1">
      <w:pPr>
        <w:spacing w:after="0"/>
      </w:pPr>
    </w:p>
    <w:p w:rsidR="004F127D" w:rsidRPr="00C90523" w:rsidRDefault="006568A3" w:rsidP="00313BA1">
      <w:pPr>
        <w:spacing w:after="0"/>
        <w:jc w:val="both"/>
        <w:rPr>
          <w:b/>
          <w:i/>
        </w:rPr>
      </w:pPr>
      <w:r w:rsidRPr="006568A3">
        <w:rPr>
          <w:b/>
          <w:i/>
        </w:rPr>
        <w:t>Energia</w:t>
      </w:r>
    </w:p>
    <w:p w:rsidR="004F127D" w:rsidRPr="00C90523" w:rsidRDefault="004F127D" w:rsidP="00313BA1">
      <w:pPr>
        <w:autoSpaceDE w:val="0"/>
        <w:autoSpaceDN w:val="0"/>
        <w:adjustRightInd w:val="0"/>
        <w:spacing w:after="0"/>
        <w:jc w:val="both"/>
      </w:pPr>
      <w:r w:rsidRPr="00C90523">
        <w:t xml:space="preserve">O Plano Nacional de Energias Domésticas (PNED) tem como objectivo específico a satisfação da procura de energia para cocção de forma sustentável e os respectivos indicadores de resultados têm enfoque género. O plano de ação para a produção e divulgação de fogões melhorados reconhece o impacto para a saúde da poluição interna, resultante </w:t>
      </w:r>
      <w:r w:rsidRPr="00861276">
        <w:t>de fogões tradicionais, em particular no caso das mulheres. Os fogões tradicionais implicam desperdício de tempo (recolha de lenha, ineficientes), afectando o tempo, sobretudo das mulheres, disponível para actividades produtivas. Ainda, no âm</w:t>
      </w:r>
      <w:r w:rsidRPr="00C90523">
        <w:t>bito de iniciativas regionais, tem havido oportunidades de formação sobre integração das questões de género, no sentido de promover uma análise das implicações para diferentes grupos de mulheres das políticas de energia.</w:t>
      </w:r>
    </w:p>
    <w:p w:rsidR="004F127D" w:rsidRPr="00C90523" w:rsidRDefault="004F127D" w:rsidP="00313BA1">
      <w:pPr>
        <w:spacing w:after="0"/>
      </w:pPr>
    </w:p>
    <w:p w:rsidR="004F127D" w:rsidRPr="00C90523" w:rsidRDefault="006568A3" w:rsidP="00313BA1">
      <w:pPr>
        <w:spacing w:after="0"/>
        <w:jc w:val="both"/>
        <w:rPr>
          <w:b/>
          <w:i/>
        </w:rPr>
      </w:pPr>
      <w:r w:rsidRPr="006568A3">
        <w:rPr>
          <w:b/>
          <w:i/>
        </w:rPr>
        <w:t xml:space="preserve">Educação e formação </w:t>
      </w:r>
    </w:p>
    <w:p w:rsidR="004F127D" w:rsidRPr="00C90523" w:rsidRDefault="004F127D" w:rsidP="00313BA1">
      <w:pPr>
        <w:autoSpaceDE w:val="0"/>
        <w:autoSpaceDN w:val="0"/>
        <w:adjustRightInd w:val="0"/>
        <w:spacing w:after="0"/>
        <w:jc w:val="both"/>
      </w:pPr>
      <w:r w:rsidRPr="00C90523">
        <w:t>A melhoria da qualidade, relevância e integração da educação, formação e emprego é priorizada numa lógica de adequação às exigências do mercado do trabalho e favorecendo a empregabilidade. O ensino técnico profissional e a formação profissional em particular devem contribuir para ad</w:t>
      </w:r>
      <w:r w:rsidRPr="00861276">
        <w:t>equar o perfil formativo do país às reais necessidades do mercado de trabalho (agro negócios, economia marítima, ambiente, saúde, energias renováveis e turismo). A Carta de Política Integrada da Educação, Formação e Emprego (2013- 2018) (Reso</w:t>
      </w:r>
      <w:r w:rsidRPr="00C90523">
        <w:t>lução nº112/2013, de 1 de Novembro) apresenta a análise da situação com uma abordagem de género, permitindo identificar as mulheres como alvo de várias intervenções propostas. De entre os seus 4 eixos 1 tem por objectivo “</w:t>
      </w:r>
      <w:r w:rsidRPr="00C90523">
        <w:rPr>
          <w:i/>
        </w:rPr>
        <w:t>Aumentar as oportunidades de emprego, para reduzir as disparidades regionais e de género</w:t>
      </w:r>
      <w:r w:rsidRPr="00C90523">
        <w:t>”. Os vários projectos em curso (estágios profissionais, inserção de desempregados de longa duração, iniciativas locais e regionais de Emprego) incluem a promoção da igualdade de género, para além de terem sido implementadas iniciativas específicas de apoio ao empreendedorismo de mulheres jovens. De referir que se encontra em curso de elaboração o Plano Estratégico Integrado para a Educação, Formação e Emprego, numa perspectiva de valorização do capital humano, que será operacionalizado em 3 planos de acção sectoriais.</w:t>
      </w:r>
    </w:p>
    <w:p w:rsidR="004F127D" w:rsidRPr="00C90523" w:rsidRDefault="004F127D" w:rsidP="00313BA1">
      <w:pPr>
        <w:spacing w:after="0"/>
        <w:jc w:val="both"/>
      </w:pPr>
    </w:p>
    <w:p w:rsidR="004F127D" w:rsidRPr="00C90523" w:rsidRDefault="004F127D" w:rsidP="00313BA1">
      <w:pPr>
        <w:spacing w:after="0"/>
        <w:jc w:val="both"/>
      </w:pPr>
      <w:r w:rsidRPr="00C90523">
        <w:t xml:space="preserve">Por outro lado a educação, para além dos estudos sobre o insucesso escolar e o abandono escolar, que deverão integrar uma abordagem de género, irá realizar uma análise sobre violência escolar numa perspectiva entre pares e de relações de género. </w:t>
      </w:r>
    </w:p>
    <w:p w:rsidR="004F127D" w:rsidRPr="00C90523" w:rsidRDefault="004F127D" w:rsidP="00313BA1">
      <w:pPr>
        <w:spacing w:after="0"/>
        <w:jc w:val="both"/>
      </w:pPr>
    </w:p>
    <w:p w:rsidR="004F127D" w:rsidRPr="00C90523" w:rsidRDefault="004F127D" w:rsidP="00313BA1">
      <w:pPr>
        <w:spacing w:after="0"/>
        <w:jc w:val="both"/>
      </w:pPr>
      <w:r w:rsidRPr="00C90523">
        <w:t>Está ainda em curso a formulação, numa lógica intersectorial, do Plano Integrado da Pequena Infância.</w:t>
      </w:r>
    </w:p>
    <w:p w:rsidR="004F127D" w:rsidRPr="00C90523" w:rsidRDefault="004F127D" w:rsidP="00313BA1">
      <w:pPr>
        <w:spacing w:after="0"/>
        <w:jc w:val="both"/>
      </w:pPr>
    </w:p>
    <w:p w:rsidR="004F127D" w:rsidRPr="00C90523" w:rsidRDefault="006568A3" w:rsidP="00313BA1">
      <w:pPr>
        <w:spacing w:after="0"/>
        <w:jc w:val="both"/>
        <w:rPr>
          <w:b/>
          <w:i/>
        </w:rPr>
      </w:pPr>
      <w:r w:rsidRPr="006568A3">
        <w:rPr>
          <w:b/>
          <w:i/>
        </w:rPr>
        <w:t>Saúde e SSR</w:t>
      </w:r>
    </w:p>
    <w:p w:rsidR="004F127D" w:rsidRPr="00861276" w:rsidRDefault="004F127D" w:rsidP="00313BA1">
      <w:pPr>
        <w:autoSpaceDE w:val="0"/>
        <w:autoSpaceDN w:val="0"/>
        <w:adjustRightInd w:val="0"/>
        <w:spacing w:after="0"/>
        <w:jc w:val="both"/>
      </w:pPr>
      <w:r w:rsidRPr="00C90523">
        <w:t>O Plano Nacional de Desenvolvimento Sanitário (2021-2016) foi revisto para garantir a transvers</w:t>
      </w:r>
      <w:r w:rsidRPr="00861276">
        <w:t xml:space="preserve">alização do género e da deficiência, assinalando vários pontos de entrada para uma programação e prestação de serviços sensíveis ao género (ponto de situação dos avanços). </w:t>
      </w:r>
    </w:p>
    <w:p w:rsidR="004F127D" w:rsidRPr="00C90523" w:rsidRDefault="004F127D" w:rsidP="00313BA1">
      <w:pPr>
        <w:autoSpaceDE w:val="0"/>
        <w:autoSpaceDN w:val="0"/>
        <w:adjustRightInd w:val="0"/>
        <w:spacing w:after="0"/>
        <w:jc w:val="both"/>
      </w:pPr>
    </w:p>
    <w:p w:rsidR="004F127D" w:rsidRPr="00C90523" w:rsidRDefault="004F127D" w:rsidP="00313BA1">
      <w:pPr>
        <w:autoSpaceDE w:val="0"/>
        <w:autoSpaceDN w:val="0"/>
        <w:adjustRightInd w:val="0"/>
        <w:spacing w:after="0"/>
        <w:jc w:val="both"/>
      </w:pPr>
      <w:r w:rsidRPr="00C90523">
        <w:t>A avaliação dos SSR para Adolescentes, que existem desde 2008, identificou várias áreas que podem ser reforçadas: i) a incorporação de discussões de género nas ações de SSR; ii) o aproveitamento da presença masculina nos Centros da Juventude para aprofundar esta reflexão, em especial no que se refere ao exercício das masculinidades; iii) a capitalização da janela de oportunidade aberta pela Lei sobre VBG para o aprofundamento da discussão das diferentes expressões das desigualdades de género, especialmente as que se reflectem nas práticas de SSR; iv) a incorporação de uma abordagem da sexualidade nas intervenções; v) o reforço do trabalho educativo em sexualidade nas comunidades, com vista a atingir a família; vi) a promoção da educação de pares; e viii) a capacitação permanente do pessoal dos serviços de SSR.</w:t>
      </w:r>
    </w:p>
    <w:p w:rsidR="004F127D" w:rsidRPr="00C90523" w:rsidRDefault="004F127D" w:rsidP="00313BA1">
      <w:pPr>
        <w:spacing w:after="0"/>
        <w:jc w:val="both"/>
      </w:pPr>
    </w:p>
    <w:p w:rsidR="004F127D" w:rsidRPr="00C90523" w:rsidRDefault="004F127D" w:rsidP="00313BA1">
      <w:pPr>
        <w:spacing w:after="0"/>
        <w:jc w:val="both"/>
      </w:pPr>
      <w:r w:rsidRPr="00C90523">
        <w:t>Numa lógica intersectorial, o ICIEG, Educação, Juventude e Saúde estão a preparar uma análise da forma como são abordadas as questões da saúde sexual e reprodutiva e educação sexual dos adolescentes.</w:t>
      </w:r>
    </w:p>
    <w:p w:rsidR="004F127D" w:rsidRPr="00C90523" w:rsidRDefault="004F127D" w:rsidP="00313BA1">
      <w:pPr>
        <w:spacing w:after="0"/>
        <w:rPr>
          <w:b/>
        </w:rPr>
      </w:pPr>
    </w:p>
    <w:p w:rsidR="00E60FC4" w:rsidRPr="00C90523" w:rsidRDefault="00E60FC4" w:rsidP="00313BA1">
      <w:pPr>
        <w:spacing w:after="0"/>
        <w:jc w:val="both"/>
        <w:rPr>
          <w:b/>
          <w:i/>
        </w:rPr>
      </w:pPr>
    </w:p>
    <w:p w:rsidR="00E60FC4" w:rsidRPr="00C90523" w:rsidRDefault="00E60FC4" w:rsidP="00313BA1">
      <w:pPr>
        <w:spacing w:after="0"/>
        <w:jc w:val="both"/>
        <w:rPr>
          <w:b/>
          <w:i/>
        </w:rPr>
      </w:pPr>
    </w:p>
    <w:p w:rsidR="004F127D" w:rsidRPr="00C90523" w:rsidRDefault="006568A3" w:rsidP="00313BA1">
      <w:pPr>
        <w:spacing w:after="0"/>
        <w:jc w:val="both"/>
        <w:rPr>
          <w:b/>
          <w:i/>
        </w:rPr>
      </w:pPr>
      <w:r w:rsidRPr="006568A3">
        <w:rPr>
          <w:b/>
          <w:i/>
        </w:rPr>
        <w:t xml:space="preserve">A institucionalização da abordagem de género </w:t>
      </w:r>
    </w:p>
    <w:p w:rsidR="004F127D" w:rsidRPr="00C90523" w:rsidRDefault="004F127D" w:rsidP="00313BA1">
      <w:pPr>
        <w:spacing w:after="0"/>
        <w:jc w:val="both"/>
      </w:pPr>
      <w:r w:rsidRPr="00C90523">
        <w:t>Como acima mencionado, a implement</w:t>
      </w:r>
      <w:r w:rsidRPr="00861276">
        <w:t>ação do PNIEG (2005-2011) contribuiu para uma abordagem mais estratégica e multidimensional da transversalização da igualdade de género. Contudo, analisando a institucionalização da abordagem de género a nível sectorial verifica-se que os ava</w:t>
      </w:r>
      <w:r w:rsidRPr="00C90523">
        <w:t>nços não são homogéneos em todos os sectores e que persistem muitos desafios.</w:t>
      </w:r>
      <w:r w:rsidRPr="00C90523">
        <w:rPr>
          <w:rStyle w:val="Refdenotaderodap"/>
        </w:rPr>
        <w:footnoteReference w:id="57"/>
      </w:r>
    </w:p>
    <w:p w:rsidR="004F127D" w:rsidRPr="00861276" w:rsidRDefault="004F127D" w:rsidP="00313BA1">
      <w:pPr>
        <w:spacing w:after="0"/>
        <w:jc w:val="both"/>
      </w:pPr>
    </w:p>
    <w:p w:rsidR="004F127D" w:rsidRPr="00C90523" w:rsidRDefault="004F127D" w:rsidP="00313BA1">
      <w:pPr>
        <w:spacing w:after="0"/>
        <w:jc w:val="both"/>
      </w:pPr>
      <w:r w:rsidRPr="00C90523">
        <w:t xml:space="preserve">A maioria das instituições identifica questões </w:t>
      </w:r>
      <w:r w:rsidRPr="00C90523">
        <w:rPr>
          <w:rFonts w:cs="Calibri"/>
        </w:rPr>
        <w:t xml:space="preserve">prioritárias </w:t>
      </w:r>
      <w:r w:rsidRPr="00C90523">
        <w:t xml:space="preserve">de género importantes para os seus </w:t>
      </w:r>
      <w:r w:rsidRPr="00C90523">
        <w:rPr>
          <w:rFonts w:cs="Calibri"/>
        </w:rPr>
        <w:t>sector</w:t>
      </w:r>
      <w:r w:rsidRPr="00C90523">
        <w:t>es, ilustrando, para além do conhecimento da situação de género, a sua relevância e essência transversal. Contudo nem sempre estas prioridades são capturadas nos respectivos documentos de planificação estratégica e, quando o são, as referências são frequentemente de ordem semântica de cariz genérico. Verifica-se assim que a grande maioria das instituições precisa assegurar que a sua planificação estratégica integra de forma consistente um diagnóstico de género e que as prioridades identificadas sejam reflectidas nos objectivos e medidas estratégicas propostos.</w:t>
      </w:r>
    </w:p>
    <w:p w:rsidR="004F127D" w:rsidRPr="00C90523" w:rsidRDefault="004F127D" w:rsidP="00313BA1">
      <w:pPr>
        <w:spacing w:after="0"/>
        <w:jc w:val="both"/>
      </w:pPr>
    </w:p>
    <w:p w:rsidR="004F127D" w:rsidRPr="00C90523" w:rsidRDefault="004F127D" w:rsidP="00313BA1">
      <w:pPr>
        <w:spacing w:after="0"/>
        <w:jc w:val="both"/>
      </w:pPr>
      <w:r w:rsidRPr="00C90523">
        <w:t>No âmbito da planificação operacional dos sectores, verifica-se que algumas medidas promotoras da igualdade de género existem, enquanto várias outras, embora não visem especificamente a igualdade de género, têm potencial para contribuir. Grande parte das medidas mencionadas pelos sectores enquadram-se em projetos/iniciativas que contam com financiamento de parceiros internacionais e para aos quais a integração da abordagem de género é uma exigência. Nesse sentido as competências e práticas desenvolvidas nesse contexto, bem como os resultados para os quais contribuem, precisam ser debatidos internamente nos sectores, no sentido da sua apropriação e institucionalização.</w:t>
      </w:r>
    </w:p>
    <w:p w:rsidR="004F127D" w:rsidRPr="00C90523" w:rsidRDefault="004F127D" w:rsidP="00313BA1">
      <w:pPr>
        <w:spacing w:after="0"/>
        <w:jc w:val="both"/>
        <w:rPr>
          <w:rFonts w:cs="ArialMT"/>
        </w:rPr>
      </w:pPr>
    </w:p>
    <w:p w:rsidR="004F127D" w:rsidRPr="00C90523" w:rsidRDefault="004F127D" w:rsidP="00313BA1">
      <w:pPr>
        <w:spacing w:after="0"/>
        <w:jc w:val="both"/>
      </w:pPr>
      <w:r w:rsidRPr="00C90523">
        <w:t xml:space="preserve">As lacunas na institucionalização da abordagem de género são mais visíveis na sua dimensão orçamental, de seguimento e avaliação e das capacidades institucionais em matéria de género. São poucas as instituições que têm um orçamento destinado à promoção da igualdade de género e não existe forma de contabilizar a contribuição das ações do sector em geral para a igualdade de género. Em termos de seguimento e avaliação dos planos estratégicos e operacionais, uma minoria prevê/segue indicadores desagregados por sexo e não é referido o uso de indicadores específicos que permitam medir os progressos em matéria de igualdade de género. Alguns sectores contam com recursos humanos com conhecimentos em matéria de género e com documentação nesta matéria relacionada com o sector (manuais, análises, relatórios, entre outros), no entanto muito poucos contam com </w:t>
      </w:r>
      <w:r w:rsidRPr="00C90523">
        <w:rPr>
          <w:rFonts w:cs="Calibri"/>
        </w:rPr>
        <w:t>instrumentos de apoio à integração das questões de género na planificação/programas</w:t>
      </w:r>
      <w:r w:rsidRPr="00C90523">
        <w:t>/projectos. São poucos os que têm recursos humanos dedicados ao trabalho de género, e as oportunidades de formação na matéria estão longe de ser generalizadas. Verifica-se assim que existe uma grande necessidade de reforçar a apropriação de ferramentas teóricas e metodológicas da abordagem de género, de equacionar as modalidades de organização interna e parcerias para efectivar o trabalho da sua integração no trabalho dos sectores, bem como de reforçar os investimentos neste domínio, e desenvolver instrumentos que permitam o seguimento dos investimentos.</w:t>
      </w:r>
    </w:p>
    <w:p w:rsidR="004F127D" w:rsidRPr="00C90523" w:rsidRDefault="004F127D" w:rsidP="00313BA1">
      <w:pPr>
        <w:spacing w:after="0"/>
        <w:jc w:val="both"/>
      </w:pPr>
    </w:p>
    <w:p w:rsidR="004F127D" w:rsidRPr="00C90523" w:rsidRDefault="004F127D" w:rsidP="00313BA1">
      <w:pPr>
        <w:spacing w:after="0"/>
        <w:jc w:val="both"/>
      </w:pPr>
      <w:r w:rsidRPr="00C90523">
        <w:t xml:space="preserve">Os sectores de forma geral têm pontos focais de género, muito dos quais indigitados no contexto da implementação da Lei VBG e/ou da elaboração do PNVBG (2014-2016). A maioria dos sectores refere articulação com o ICIEG, no âmbito da planificação e da implementação de acções conjuntas, nalguns casos foram estabelecidos mecanismos, através da assinatura de protocolos e/ou de participação em comités ou outras instâncias de coordenação. Alguns sectores expressam a necessidade de reforçar o sistema de pontos focais internamente, criando núcleos, na medida em que o engajamento que existe com a igualdade de género precisa traduzir-se de forma operacional na mobilização de serviços chave para a efectivação da transversalização. A este respeito é referida a utilidade de metodologias como as auditorias de género. </w:t>
      </w:r>
    </w:p>
    <w:p w:rsidR="004F127D" w:rsidRPr="00C90523" w:rsidRDefault="004F127D" w:rsidP="00313BA1">
      <w:pPr>
        <w:spacing w:after="0"/>
        <w:jc w:val="both"/>
      </w:pPr>
    </w:p>
    <w:p w:rsidR="004F127D" w:rsidRPr="00C90523" w:rsidRDefault="004F127D" w:rsidP="00313BA1">
      <w:pPr>
        <w:tabs>
          <w:tab w:val="num" w:pos="720"/>
        </w:tabs>
        <w:spacing w:after="0"/>
        <w:jc w:val="both"/>
      </w:pPr>
      <w:r w:rsidRPr="00C90523">
        <w:t>A forma como as instituições/sectores comunicam o seu engajamento em matéria de igualdade de género é ainda tímida: uma minoria refere produzir materiais de comunicação sobre questões de género relevantes para o seu sector, quer sejam direccionados para um público interno, quer externo.</w:t>
      </w:r>
    </w:p>
    <w:p w:rsidR="004F127D" w:rsidRPr="00C90523" w:rsidRDefault="004F127D" w:rsidP="004F127D">
      <w:pPr>
        <w:pStyle w:val="Pa24"/>
        <w:spacing w:line="276" w:lineRule="auto"/>
        <w:jc w:val="both"/>
        <w:rPr>
          <w:rFonts w:asciiTheme="minorHAnsi" w:eastAsia="SimSun" w:hAnsiTheme="minorHAnsi" w:cs="Calibri"/>
          <w:sz w:val="22"/>
          <w:szCs w:val="22"/>
        </w:rPr>
      </w:pPr>
    </w:p>
    <w:p w:rsidR="004F127D" w:rsidRPr="00C90523" w:rsidRDefault="004F127D" w:rsidP="00313BA1">
      <w:pPr>
        <w:spacing w:after="0"/>
        <w:contextualSpacing/>
        <w:jc w:val="both"/>
        <w:rPr>
          <w:rFonts w:eastAsia="SimSun" w:cs="Calibri"/>
        </w:rPr>
      </w:pPr>
      <w:r w:rsidRPr="00C90523">
        <w:rPr>
          <w:rFonts w:eastAsia="SimSun" w:cs="Calibri"/>
        </w:rPr>
        <w:t>Globalmente fica claro a necessidade de reforçar substancialmente as capacidades da maioria dos sectores para a integração transversal da abordagem de género, assegurando que as instituições desenvolvem uma efectiva cultura de género, adoptam este paradigma na elaboração das análises de situação que informam os exercícios de planificação e orçamentação dos seus sectores, e a ele recorrem para norteador a implementação dos seus programas, serviços e em toda a sua acção. A igualdade de género é reconhecida, a nível nacional e internacional, como uma condição sine qua non para o alcance de resultados de desenvolvimento, e os investimentos em políticas de género e de transversalização carecem de um seguimento de proximidade e ao mais alto nível. Nesse sentido, como peça fundamental do processo de reforço da institucionalização da abordagem de género, devem ser considerados mecanismos de prestação de contas (tais como relatórios de género sectorais e a sua revisão periódica a nível superior, quer do governo, quer do Parlamento).</w:t>
      </w:r>
    </w:p>
    <w:p w:rsidR="004F127D" w:rsidRPr="00C90523" w:rsidRDefault="00F01DA6" w:rsidP="00F01DA6">
      <w:pPr>
        <w:pStyle w:val="Cabealho1"/>
      </w:pPr>
      <w:bookmarkStart w:id="75" w:name="_Toc402442245"/>
      <w:bookmarkStart w:id="76" w:name="_Toc406667295"/>
      <w:r w:rsidRPr="00C90523">
        <w:t>3</w:t>
      </w:r>
      <w:r w:rsidR="00E14252" w:rsidRPr="00C90523">
        <w:t>.</w:t>
      </w:r>
      <w:r w:rsidRPr="00C90523">
        <w:t xml:space="preserve"> </w:t>
      </w:r>
      <w:r w:rsidR="004F127D" w:rsidRPr="00C90523">
        <w:t>DESAFIOS E PROBLEMAS CENTRAIS PARA A IGUALDADE DE GÉNERO EM CABO VERDE</w:t>
      </w:r>
      <w:bookmarkEnd w:id="75"/>
      <w:r w:rsidR="00E14252" w:rsidRPr="00C90523">
        <w:t>.</w:t>
      </w:r>
      <w:bookmarkEnd w:id="76"/>
    </w:p>
    <w:p w:rsidR="004F127D" w:rsidRPr="00C90523" w:rsidRDefault="004F127D" w:rsidP="000B4BF6">
      <w:pPr>
        <w:spacing w:after="0"/>
        <w:jc w:val="both"/>
        <w:rPr>
          <w: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60"/>
        <w:gridCol w:w="5984"/>
      </w:tblGrid>
      <w:tr w:rsidR="004F127D" w:rsidRPr="00C90523" w:rsidTr="00760ADB">
        <w:trPr>
          <w:tblHeader/>
        </w:trPr>
        <w:tc>
          <w:tcPr>
            <w:tcW w:w="2660" w:type="dxa"/>
            <w:shd w:val="clear" w:color="auto" w:fill="BFBFBF" w:themeFill="background1" w:themeFillShade="BF"/>
          </w:tcPr>
          <w:p w:rsidR="004F127D" w:rsidRPr="00C90523" w:rsidRDefault="004F127D" w:rsidP="000B4BF6">
            <w:pPr>
              <w:spacing w:before="60" w:after="0"/>
              <w:rPr>
                <w:b/>
                <w:bCs/>
              </w:rPr>
            </w:pPr>
            <w:r w:rsidRPr="00C90523">
              <w:rPr>
                <w:b/>
                <w:bCs/>
              </w:rPr>
              <w:t>PROBLEMAS</w:t>
            </w:r>
          </w:p>
        </w:tc>
        <w:tc>
          <w:tcPr>
            <w:tcW w:w="5984" w:type="dxa"/>
            <w:shd w:val="clear" w:color="auto" w:fill="BFBFBF" w:themeFill="background1" w:themeFillShade="BF"/>
          </w:tcPr>
          <w:p w:rsidR="004F127D" w:rsidRPr="00861276" w:rsidRDefault="004F127D" w:rsidP="000079EB">
            <w:pPr>
              <w:spacing w:before="60" w:after="60"/>
              <w:rPr>
                <w:b/>
                <w:bCs/>
              </w:rPr>
            </w:pPr>
            <w:r w:rsidRPr="00861276">
              <w:rPr>
                <w:b/>
                <w:bCs/>
              </w:rPr>
              <w:t>DESAFIOS</w:t>
            </w:r>
          </w:p>
        </w:tc>
      </w:tr>
      <w:tr w:rsidR="004F127D" w:rsidRPr="00C90523" w:rsidTr="00760ADB">
        <w:tc>
          <w:tcPr>
            <w:tcW w:w="8644" w:type="dxa"/>
            <w:gridSpan w:val="2"/>
            <w:shd w:val="clear" w:color="auto" w:fill="F2F2F2" w:themeFill="background1" w:themeFillShade="F2"/>
            <w:vAlign w:val="center"/>
          </w:tcPr>
          <w:p w:rsidR="004F127D" w:rsidRPr="00C90523" w:rsidRDefault="006568A3" w:rsidP="00760ADB">
            <w:pPr>
              <w:spacing w:after="0"/>
              <w:jc w:val="both"/>
              <w:rPr>
                <w:b/>
              </w:rPr>
            </w:pPr>
            <w:r w:rsidRPr="006568A3">
              <w:rPr>
                <w:b/>
              </w:rPr>
              <w:t>Saúde</w:t>
            </w:r>
          </w:p>
        </w:tc>
      </w:tr>
      <w:tr w:rsidR="004F127D" w:rsidRPr="00C90523" w:rsidTr="00E9106E">
        <w:trPr>
          <w:trHeight w:val="4474"/>
        </w:trPr>
        <w:tc>
          <w:tcPr>
            <w:tcW w:w="2660" w:type="dxa"/>
          </w:tcPr>
          <w:p w:rsidR="004F127D" w:rsidRPr="00C90523" w:rsidRDefault="006568A3" w:rsidP="00E9106E">
            <w:pPr>
              <w:spacing w:after="0" w:line="240" w:lineRule="auto"/>
              <w:jc w:val="both"/>
              <w:rPr>
                <w:rFonts w:cs="Arial"/>
              </w:rPr>
            </w:pPr>
            <w:r w:rsidRPr="006568A3">
              <w:rPr>
                <w:rFonts w:cs="Arial"/>
              </w:rPr>
              <w:t>Existe um acesso diferenciado aos recursos para a proteção e promoção da saúde, e riscos específicos relacionados a actividades/tarefas/papéis definidos como masculinos ou femininos, e à própria percepção da doença e comportamentos de procura de serviços de saúde.</w:t>
            </w:r>
          </w:p>
        </w:tc>
        <w:tc>
          <w:tcPr>
            <w:tcW w:w="5984" w:type="dxa"/>
          </w:tcPr>
          <w:p w:rsidR="004F127D" w:rsidRPr="00C90523" w:rsidRDefault="006568A3" w:rsidP="00243978">
            <w:pPr>
              <w:pStyle w:val="PargrafodaLista"/>
              <w:numPr>
                <w:ilvl w:val="0"/>
                <w:numId w:val="20"/>
              </w:numPr>
              <w:autoSpaceDE w:val="0"/>
              <w:autoSpaceDN w:val="0"/>
              <w:adjustRightInd w:val="0"/>
              <w:spacing w:after="0" w:line="240" w:lineRule="auto"/>
              <w:jc w:val="both"/>
            </w:pPr>
            <w:r w:rsidRPr="006568A3">
              <w:t>Contar com programas no sector da saúde que utilizem uma abordagem de género e considerem o impacto diferenciado dos programas sobre as mulheres e os homens e a melhoria do acesso dos homens aos diferentes serviços.</w:t>
            </w:r>
          </w:p>
          <w:p w:rsidR="004F127D" w:rsidRPr="00C90523" w:rsidRDefault="006568A3" w:rsidP="00243978">
            <w:pPr>
              <w:pStyle w:val="PargrafodaLista"/>
              <w:numPr>
                <w:ilvl w:val="0"/>
                <w:numId w:val="20"/>
              </w:numPr>
              <w:spacing w:after="0" w:line="240" w:lineRule="auto"/>
              <w:jc w:val="both"/>
            </w:pPr>
            <w:r w:rsidRPr="006568A3">
              <w:t>Promover a incorporação de uma abordagem de género tanto no atendimento, como no tratamento das doenças e no desenho de campanhas.</w:t>
            </w:r>
          </w:p>
          <w:p w:rsidR="004F127D" w:rsidRPr="00C90523" w:rsidRDefault="006568A3" w:rsidP="00243978">
            <w:pPr>
              <w:pStyle w:val="PargrafodaLista"/>
              <w:numPr>
                <w:ilvl w:val="0"/>
                <w:numId w:val="20"/>
              </w:numPr>
              <w:spacing w:after="0" w:line="240" w:lineRule="auto"/>
              <w:jc w:val="both"/>
            </w:pPr>
            <w:r w:rsidRPr="006568A3">
              <w:rPr>
                <w:rFonts w:cs="Arial"/>
              </w:rPr>
              <w:t>Intervir a nível dos factores de risco para as doenças não transmissíveis (DNT), tais como o uso abusivo do álcool e de outras substâncias psicotrópicas, o sobrepeso e a obesidade, entre outros, e que claramente apresentam padrões diferenciados em razão do género.</w:t>
            </w:r>
          </w:p>
          <w:p w:rsidR="004F127D" w:rsidRPr="00C90523" w:rsidRDefault="006568A3" w:rsidP="00243978">
            <w:pPr>
              <w:pStyle w:val="PargrafodaLista"/>
              <w:numPr>
                <w:ilvl w:val="0"/>
                <w:numId w:val="20"/>
              </w:numPr>
              <w:spacing w:after="0" w:line="240" w:lineRule="auto"/>
              <w:jc w:val="both"/>
            </w:pPr>
            <w:r w:rsidRPr="006568A3">
              <w:t>Aprofundar o conhecimento sobre o impacto nas mulheres do tempo dedicado aos cuidados de pessoas doentes, com vista a elaborar propostas para melhorar os programas de prestação de cuidados de saúde, bem como de apoio às/aos que cuidam</w:t>
            </w:r>
          </w:p>
        </w:tc>
      </w:tr>
      <w:tr w:rsidR="004F127D" w:rsidRPr="00C90523" w:rsidTr="00E9106E">
        <w:tc>
          <w:tcPr>
            <w:tcW w:w="2660" w:type="dxa"/>
          </w:tcPr>
          <w:p w:rsidR="004F127D" w:rsidRPr="00C90523" w:rsidRDefault="006568A3" w:rsidP="00E9106E">
            <w:pPr>
              <w:spacing w:after="0" w:line="240" w:lineRule="auto"/>
              <w:jc w:val="both"/>
              <w:rPr>
                <w:rFonts w:cs="Arial"/>
              </w:rPr>
            </w:pPr>
            <w:r w:rsidRPr="006568A3">
              <w:rPr>
                <w:rFonts w:cs="Arial"/>
              </w:rPr>
              <w:t>Os fatores de vulnerabilidade por detrás do aumento da morbi/mortalidade devido a causas externas (acidentes, violência) não são conhecidos de forma aprofundada, nem os dados são analisados de forma suficientemente desagregada (por sexo e faixa etária, etc.) com vista a qualificar as intervenções com as mulheres e com os homens, tornando as repostas mais efectivas.</w:t>
            </w:r>
          </w:p>
          <w:p w:rsidR="004F127D" w:rsidRPr="00C90523" w:rsidRDefault="004F127D" w:rsidP="00E9106E">
            <w:pPr>
              <w:spacing w:after="0" w:line="240" w:lineRule="auto"/>
              <w:jc w:val="both"/>
              <w:rPr>
                <w:rFonts w:cs="Arial"/>
              </w:rPr>
            </w:pPr>
          </w:p>
        </w:tc>
        <w:tc>
          <w:tcPr>
            <w:tcW w:w="5984" w:type="dxa"/>
          </w:tcPr>
          <w:p w:rsidR="004F127D" w:rsidRPr="00C90523" w:rsidRDefault="006568A3" w:rsidP="00243978">
            <w:pPr>
              <w:pStyle w:val="PargrafodaLista"/>
              <w:numPr>
                <w:ilvl w:val="0"/>
                <w:numId w:val="20"/>
              </w:numPr>
              <w:autoSpaceDE w:val="0"/>
              <w:autoSpaceDN w:val="0"/>
              <w:adjustRightInd w:val="0"/>
              <w:spacing w:after="0" w:line="240" w:lineRule="auto"/>
              <w:jc w:val="both"/>
            </w:pPr>
            <w:r w:rsidRPr="006568A3">
              <w:t>Introduzir de maneira sistemática a abordagem de género na produção de dados e planificação da saúde.</w:t>
            </w:r>
          </w:p>
          <w:p w:rsidR="004F127D" w:rsidRPr="00C90523" w:rsidRDefault="006568A3" w:rsidP="00243978">
            <w:pPr>
              <w:pStyle w:val="PargrafodaLista"/>
              <w:numPr>
                <w:ilvl w:val="0"/>
                <w:numId w:val="20"/>
              </w:numPr>
              <w:autoSpaceDE w:val="0"/>
              <w:autoSpaceDN w:val="0"/>
              <w:adjustRightInd w:val="0"/>
              <w:spacing w:after="0" w:line="240" w:lineRule="auto"/>
              <w:jc w:val="both"/>
            </w:pPr>
            <w:r w:rsidRPr="006568A3">
              <w:t>Contar com indicadores desagregados por sexo e idade e indicadores de género no sistema de seguimento e avaliação do PNDS.</w:t>
            </w:r>
          </w:p>
          <w:p w:rsidR="004F127D" w:rsidRPr="00C90523" w:rsidRDefault="006568A3" w:rsidP="00243978">
            <w:pPr>
              <w:pStyle w:val="PargrafodaLista"/>
              <w:numPr>
                <w:ilvl w:val="0"/>
                <w:numId w:val="20"/>
              </w:numPr>
              <w:autoSpaceDE w:val="0"/>
              <w:autoSpaceDN w:val="0"/>
              <w:adjustRightInd w:val="0"/>
              <w:spacing w:after="0" w:line="240" w:lineRule="auto"/>
              <w:jc w:val="both"/>
            </w:pPr>
            <w:r w:rsidRPr="006568A3">
              <w:t>Promover o debate sobre masculinidades, género e políticas públicas e as necessidades de mudança de comportamento, envolvendo aos homens, afim de reduzir a morbimortalidade por causas externas.</w:t>
            </w:r>
          </w:p>
          <w:p w:rsidR="004F127D" w:rsidRPr="00C90523" w:rsidRDefault="006568A3" w:rsidP="00243978">
            <w:pPr>
              <w:pStyle w:val="PargrafodaLista"/>
              <w:numPr>
                <w:ilvl w:val="0"/>
                <w:numId w:val="20"/>
              </w:numPr>
              <w:autoSpaceDE w:val="0"/>
              <w:autoSpaceDN w:val="0"/>
              <w:adjustRightInd w:val="0"/>
              <w:spacing w:after="0" w:line="240" w:lineRule="auto"/>
              <w:jc w:val="both"/>
            </w:pPr>
            <w:r w:rsidRPr="006568A3">
              <w:t xml:space="preserve">Investir em estratégias de promoção da saúde, para que os diferentes segmentos da sociedade possam participar ativamente do cuidado à saúde. </w:t>
            </w:r>
          </w:p>
        </w:tc>
      </w:tr>
      <w:tr w:rsidR="004F127D" w:rsidRPr="00C90523" w:rsidTr="00E9106E">
        <w:tc>
          <w:tcPr>
            <w:tcW w:w="8644" w:type="dxa"/>
            <w:gridSpan w:val="2"/>
            <w:shd w:val="clear" w:color="auto" w:fill="F2F2F2" w:themeFill="background1" w:themeFillShade="F2"/>
          </w:tcPr>
          <w:p w:rsidR="004F127D" w:rsidRPr="00C90523" w:rsidRDefault="006568A3" w:rsidP="00E9106E">
            <w:pPr>
              <w:spacing w:after="0" w:line="240" w:lineRule="auto"/>
              <w:jc w:val="both"/>
              <w:rPr>
                <w:b/>
              </w:rPr>
            </w:pPr>
            <w:r w:rsidRPr="006568A3">
              <w:rPr>
                <w:b/>
              </w:rPr>
              <w:t>Direitos sexuais e reprodutivos</w:t>
            </w:r>
          </w:p>
        </w:tc>
      </w:tr>
      <w:tr w:rsidR="004F127D" w:rsidRPr="00C90523" w:rsidTr="00E9106E">
        <w:tc>
          <w:tcPr>
            <w:tcW w:w="2660" w:type="dxa"/>
          </w:tcPr>
          <w:p w:rsidR="004F127D" w:rsidRPr="00C90523" w:rsidRDefault="006568A3" w:rsidP="00E9106E">
            <w:pPr>
              <w:shd w:val="clear" w:color="auto" w:fill="FFFFFF"/>
              <w:spacing w:after="0" w:line="240" w:lineRule="auto"/>
              <w:jc w:val="both"/>
              <w:rPr>
                <w:rFonts w:eastAsia="Times New Roman" w:cs="Arial"/>
              </w:rPr>
            </w:pPr>
            <w:r w:rsidRPr="006568A3">
              <w:rPr>
                <w:rFonts w:eastAsia="Times New Roman" w:cs="Arial"/>
              </w:rPr>
              <w:t>As relações de poder desequilibrado continuam a marcar o cotidiano de muitas mulheres e homens, no que diz respeito à sexualidade, tomada de decisão sobre quando, como e com quem as mulheres escolhem ter relações sexuais, com ou sem protecção contra as IST e o VIH/SIDA, bem como em relação ao controlo da reprodução e planeamento familiar.</w:t>
            </w:r>
          </w:p>
        </w:tc>
        <w:tc>
          <w:tcPr>
            <w:tcW w:w="5984" w:type="dxa"/>
          </w:tcPr>
          <w:p w:rsidR="004F127D" w:rsidRPr="00C90523" w:rsidRDefault="006568A3" w:rsidP="00243978">
            <w:pPr>
              <w:pStyle w:val="PargrafodaLista"/>
              <w:numPr>
                <w:ilvl w:val="0"/>
                <w:numId w:val="20"/>
              </w:numPr>
              <w:spacing w:after="0" w:line="240" w:lineRule="auto"/>
              <w:jc w:val="both"/>
            </w:pPr>
            <w:r w:rsidRPr="006568A3">
              <w:t>Incorporar as relações de género nas acções de saúde sexual e reprodutiva (SSR), numa perspectiva de autonomia do corpo junto das raparigas e mulheres, e de exercício de masculinidades positivas junto dos rapazes e dos homens.</w:t>
            </w:r>
          </w:p>
          <w:p w:rsidR="004F127D" w:rsidRPr="00C90523" w:rsidRDefault="006568A3" w:rsidP="00243978">
            <w:pPr>
              <w:pStyle w:val="PargrafodaLista"/>
              <w:numPr>
                <w:ilvl w:val="0"/>
                <w:numId w:val="20"/>
              </w:numPr>
              <w:spacing w:after="0" w:line="240" w:lineRule="auto"/>
              <w:jc w:val="both"/>
            </w:pPr>
            <w:r w:rsidRPr="006568A3">
              <w:t>Trabalhar a questão da gravidez na adolescência de forma abrangente, incluindo o papel dos homens e um enfoque na “parentalidade” na adolescência.</w:t>
            </w:r>
          </w:p>
          <w:p w:rsidR="004F127D" w:rsidRPr="00C90523" w:rsidRDefault="006568A3" w:rsidP="00243978">
            <w:pPr>
              <w:pStyle w:val="PargrafodaLista"/>
              <w:numPr>
                <w:ilvl w:val="0"/>
                <w:numId w:val="20"/>
              </w:numPr>
              <w:autoSpaceDE w:val="0"/>
              <w:autoSpaceDN w:val="0"/>
              <w:adjustRightInd w:val="0"/>
              <w:spacing w:after="0" w:line="240" w:lineRule="auto"/>
              <w:jc w:val="both"/>
            </w:pPr>
            <w:r w:rsidRPr="006568A3">
              <w:t xml:space="preserve">Introduzir de forma sistemática a abordagem de género na produção de dados e planificação no domínio da acção multisectorial de combate ao VIH/SIDA, tendo em conta o objectivo de mudança de comportamento e os papéis de género atribuídos a homens e a mulheres e alguns grupos com comportamento de alto risco maioritariamente femininos, como é o caso das trabalhadoras do sexo. </w:t>
            </w:r>
          </w:p>
          <w:p w:rsidR="004F127D" w:rsidRPr="00C90523" w:rsidRDefault="006568A3" w:rsidP="00243978">
            <w:pPr>
              <w:pStyle w:val="PargrafodaLista"/>
              <w:numPr>
                <w:ilvl w:val="0"/>
                <w:numId w:val="20"/>
              </w:numPr>
              <w:spacing w:after="0" w:line="240" w:lineRule="auto"/>
              <w:jc w:val="both"/>
            </w:pPr>
            <w:r w:rsidRPr="006568A3">
              <w:t>Lograr o empoderamento das mulheres seropositivas e trabalhar para a redução dos fenómenos de descriminação.</w:t>
            </w:r>
          </w:p>
          <w:p w:rsidR="004F127D" w:rsidRPr="00C90523" w:rsidRDefault="006568A3" w:rsidP="00243978">
            <w:pPr>
              <w:pStyle w:val="PargrafodaLista"/>
              <w:numPr>
                <w:ilvl w:val="0"/>
                <w:numId w:val="20"/>
              </w:numPr>
              <w:spacing w:after="0" w:line="240" w:lineRule="auto"/>
              <w:jc w:val="both"/>
            </w:pPr>
            <w:r w:rsidRPr="006568A3">
              <w:t>Promover a procura por parte dos homens das estruturas de saúde, os grandes ausentes, em particular no que tange à SSR.</w:t>
            </w:r>
          </w:p>
          <w:p w:rsidR="004F127D" w:rsidRPr="00C90523" w:rsidRDefault="006568A3" w:rsidP="00243978">
            <w:pPr>
              <w:pStyle w:val="PargrafodaLista"/>
              <w:numPr>
                <w:ilvl w:val="0"/>
                <w:numId w:val="20"/>
              </w:numPr>
              <w:spacing w:after="0" w:line="240" w:lineRule="auto"/>
              <w:jc w:val="both"/>
            </w:pPr>
            <w:r w:rsidRPr="006568A3">
              <w:t>Melhorar a abordagem e os serviços de IVG no sentido de evitar as consequências da sua prática em condições inseguras, bem como as informações a respeito a nível da comunidade.</w:t>
            </w:r>
          </w:p>
          <w:p w:rsidR="004F127D" w:rsidRPr="00C90523" w:rsidRDefault="006568A3" w:rsidP="00243978">
            <w:pPr>
              <w:pStyle w:val="PargrafodaLista"/>
              <w:numPr>
                <w:ilvl w:val="0"/>
                <w:numId w:val="20"/>
              </w:numPr>
              <w:spacing w:after="0" w:line="240" w:lineRule="auto"/>
              <w:jc w:val="both"/>
            </w:pPr>
            <w:r w:rsidRPr="006568A3">
              <w:t xml:space="preserve">Aproveitar  a janela de oportunidade aberta pela Lei sobre VBG para o aprofundamento da discussão das diferentes expressões das desigualdades de género, especialmente as que se reflectem nas práticas de SSR. </w:t>
            </w:r>
          </w:p>
          <w:p w:rsidR="004F127D" w:rsidRPr="00C90523" w:rsidRDefault="006568A3" w:rsidP="00243978">
            <w:pPr>
              <w:pStyle w:val="PargrafodaLista"/>
              <w:numPr>
                <w:ilvl w:val="0"/>
                <w:numId w:val="20"/>
              </w:numPr>
              <w:spacing w:after="0" w:line="240" w:lineRule="auto"/>
              <w:jc w:val="both"/>
              <w:rPr>
                <w:b/>
              </w:rPr>
            </w:pPr>
            <w:r w:rsidRPr="006568A3">
              <w:t>Reforçar o trabalho educativo nas comunidades em matéria de sexualidade desde uma abordagem de género com vista a atingir a família.</w:t>
            </w:r>
          </w:p>
        </w:tc>
      </w:tr>
      <w:tr w:rsidR="004F127D" w:rsidRPr="00C90523" w:rsidTr="00E9106E">
        <w:tc>
          <w:tcPr>
            <w:tcW w:w="2660" w:type="dxa"/>
          </w:tcPr>
          <w:p w:rsidR="004F127D" w:rsidRPr="00C90523" w:rsidRDefault="006568A3" w:rsidP="00E9106E">
            <w:pPr>
              <w:spacing w:after="0" w:line="240" w:lineRule="auto"/>
              <w:jc w:val="both"/>
              <w:rPr>
                <w:rFonts w:eastAsia="Times New Roman" w:cs="Arial"/>
              </w:rPr>
            </w:pPr>
            <w:r w:rsidRPr="006568A3">
              <w:t xml:space="preserve">As infra-estruturas e capacidades dos recursos humanos dos serviços de SSR carecem de ajustes e adequação, numa perspectiva que tenha em conta o ciclo de vida, para dar uma melhor resposta às necessidades de mulheres e homens. </w:t>
            </w:r>
          </w:p>
        </w:tc>
        <w:tc>
          <w:tcPr>
            <w:tcW w:w="5984" w:type="dxa"/>
          </w:tcPr>
          <w:p w:rsidR="004F127D" w:rsidRPr="00C90523" w:rsidRDefault="006568A3" w:rsidP="00243978">
            <w:pPr>
              <w:pStyle w:val="PargrafodaLista"/>
              <w:numPr>
                <w:ilvl w:val="0"/>
                <w:numId w:val="20"/>
              </w:numPr>
              <w:spacing w:after="0" w:line="240" w:lineRule="auto"/>
              <w:jc w:val="both"/>
            </w:pPr>
            <w:r w:rsidRPr="006568A3">
              <w:t>Garantir que os serviços têm em conta as especificidades das mulheres em matéria de sexualidade e SSR.</w:t>
            </w:r>
          </w:p>
          <w:p w:rsidR="004F127D" w:rsidRPr="00C90523" w:rsidRDefault="006568A3" w:rsidP="00243978">
            <w:pPr>
              <w:pStyle w:val="PargrafodaLista"/>
              <w:numPr>
                <w:ilvl w:val="0"/>
                <w:numId w:val="20"/>
              </w:numPr>
              <w:spacing w:after="0" w:line="240" w:lineRule="auto"/>
              <w:jc w:val="both"/>
            </w:pPr>
            <w:r w:rsidRPr="006568A3">
              <w:t xml:space="preserve">Incorporar a abordagem de género nas discussões e ações dos serviços de SSR. </w:t>
            </w:r>
          </w:p>
          <w:p w:rsidR="004F127D" w:rsidRPr="00C90523" w:rsidRDefault="006568A3" w:rsidP="00243978">
            <w:pPr>
              <w:pStyle w:val="PargrafodaLista"/>
              <w:numPr>
                <w:ilvl w:val="0"/>
                <w:numId w:val="20"/>
              </w:numPr>
              <w:spacing w:after="0" w:line="240" w:lineRule="auto"/>
              <w:jc w:val="both"/>
            </w:pPr>
            <w:r w:rsidRPr="006568A3">
              <w:t xml:space="preserve">Promover a capacitação permanente do pessoal dos serviços de SSR em temas de género. </w:t>
            </w:r>
          </w:p>
          <w:p w:rsidR="004F127D" w:rsidRPr="00C90523" w:rsidRDefault="006568A3" w:rsidP="00243978">
            <w:pPr>
              <w:pStyle w:val="PargrafodaLista"/>
              <w:numPr>
                <w:ilvl w:val="0"/>
                <w:numId w:val="20"/>
              </w:numPr>
              <w:spacing w:after="0" w:line="240" w:lineRule="auto"/>
              <w:jc w:val="both"/>
            </w:pPr>
            <w:r w:rsidRPr="006568A3">
              <w:t>Aproveitar a presença masculina nos Centros da Juventude (CEJ) para aprofundar a reflexão sobre o exercício das masculinidades na SSR.</w:t>
            </w:r>
          </w:p>
          <w:p w:rsidR="004F127D" w:rsidRPr="00C90523" w:rsidRDefault="004F127D" w:rsidP="00E9106E">
            <w:pPr>
              <w:spacing w:after="0" w:line="240" w:lineRule="auto"/>
              <w:contextualSpacing/>
              <w:jc w:val="both"/>
            </w:pPr>
          </w:p>
        </w:tc>
      </w:tr>
      <w:tr w:rsidR="004F127D" w:rsidRPr="00C90523" w:rsidTr="00E9106E">
        <w:tc>
          <w:tcPr>
            <w:tcW w:w="8644" w:type="dxa"/>
            <w:gridSpan w:val="2"/>
            <w:shd w:val="clear" w:color="auto" w:fill="F2F2F2" w:themeFill="background1" w:themeFillShade="F2"/>
          </w:tcPr>
          <w:p w:rsidR="004F127D" w:rsidRPr="00C90523" w:rsidRDefault="006568A3" w:rsidP="00E9106E">
            <w:pPr>
              <w:spacing w:after="0" w:line="240" w:lineRule="auto"/>
              <w:jc w:val="both"/>
              <w:rPr>
                <w:b/>
              </w:rPr>
            </w:pPr>
            <w:r w:rsidRPr="006568A3">
              <w:rPr>
                <w:b/>
              </w:rPr>
              <w:t xml:space="preserve">  Educação e formação profissional</w:t>
            </w:r>
          </w:p>
        </w:tc>
      </w:tr>
      <w:tr w:rsidR="004F127D" w:rsidRPr="00C90523" w:rsidTr="00E9106E">
        <w:trPr>
          <w:trHeight w:val="261"/>
        </w:trPr>
        <w:tc>
          <w:tcPr>
            <w:tcW w:w="2660" w:type="dxa"/>
          </w:tcPr>
          <w:p w:rsidR="004F127D" w:rsidRPr="00C90523" w:rsidRDefault="006568A3" w:rsidP="00E9106E">
            <w:pPr>
              <w:spacing w:after="0" w:line="240" w:lineRule="auto"/>
              <w:jc w:val="both"/>
            </w:pPr>
            <w:r w:rsidRPr="006568A3">
              <w:t>Os sistemas educativo e de formação profissional não levam em conta sistematicamente as várias dimensões de uma efectiva integração da abordagem de género</w:t>
            </w:r>
          </w:p>
        </w:tc>
        <w:tc>
          <w:tcPr>
            <w:tcW w:w="5984" w:type="dxa"/>
          </w:tcPr>
          <w:p w:rsidR="004F127D" w:rsidRPr="00C90523" w:rsidRDefault="006568A3" w:rsidP="00243978">
            <w:pPr>
              <w:pStyle w:val="PargrafodaLista"/>
              <w:numPr>
                <w:ilvl w:val="0"/>
                <w:numId w:val="27"/>
              </w:numPr>
              <w:spacing w:after="0" w:line="240" w:lineRule="auto"/>
              <w:jc w:val="both"/>
            </w:pPr>
            <w:r w:rsidRPr="006568A3">
              <w:t xml:space="preserve">Analisar as especificidades quanto à forma como rapazes e raparigas progridem no sistema educativo e desenhar estratégias/intervenções adequadas às situações de cada um/uma </w:t>
            </w:r>
          </w:p>
          <w:p w:rsidR="004F127D" w:rsidRPr="00C90523" w:rsidRDefault="006568A3" w:rsidP="00243978">
            <w:pPr>
              <w:pStyle w:val="PargrafodaLista"/>
              <w:numPr>
                <w:ilvl w:val="0"/>
                <w:numId w:val="27"/>
              </w:numPr>
              <w:spacing w:after="0" w:line="240" w:lineRule="auto"/>
              <w:jc w:val="both"/>
            </w:pPr>
            <w:r w:rsidRPr="006568A3">
              <w:t>Ter em conta, para além da paridade, as muitas dimensões de uma efectiva integração da abordagem de género (currículo escolar que contribua para educação para a igualdade, respeito mútuo, co-responsabilidade; formação de professores; recursos educativos; participação paritária das mulheres na gestão e tomada de decisão no sector aos vários níveis; segurança das meninas na escola; aconselhamento vocacional sensível ao género).</w:t>
            </w:r>
          </w:p>
          <w:p w:rsidR="004F127D" w:rsidRPr="00C90523" w:rsidRDefault="006568A3" w:rsidP="00243978">
            <w:pPr>
              <w:pStyle w:val="PargrafodaLista"/>
              <w:numPr>
                <w:ilvl w:val="0"/>
                <w:numId w:val="27"/>
              </w:numPr>
              <w:spacing w:after="0" w:line="240" w:lineRule="auto"/>
              <w:jc w:val="both"/>
            </w:pPr>
            <w:r w:rsidRPr="006568A3">
              <w:t>Trabalhar os estereótipos de género, quer a nível dos actores do sistema educativo e de formação profissional, quer do sector privado/mercado laboral, no que tange a actividades/trabalhos considerados masculinos/femininos</w:t>
            </w:r>
          </w:p>
          <w:p w:rsidR="004F127D" w:rsidRPr="00C90523" w:rsidRDefault="006568A3" w:rsidP="00243978">
            <w:pPr>
              <w:pStyle w:val="PargrafodaLista"/>
              <w:numPr>
                <w:ilvl w:val="0"/>
                <w:numId w:val="27"/>
              </w:numPr>
              <w:spacing w:after="0" w:line="240" w:lineRule="auto"/>
              <w:jc w:val="both"/>
            </w:pPr>
            <w:r w:rsidRPr="006568A3">
              <w:t>Garantir uma melhor integração da abordagem de género nas políticas e programas de interligação entre a formação e a inserção profissional e laboral, bem como na alfabetização.</w:t>
            </w:r>
          </w:p>
          <w:p w:rsidR="000B4BF6" w:rsidRPr="00C90523" w:rsidRDefault="000B4BF6" w:rsidP="00243978">
            <w:pPr>
              <w:pStyle w:val="PargrafodaLista"/>
              <w:numPr>
                <w:ilvl w:val="0"/>
                <w:numId w:val="27"/>
              </w:numPr>
              <w:spacing w:after="0" w:line="240" w:lineRule="auto"/>
              <w:jc w:val="both"/>
            </w:pPr>
          </w:p>
        </w:tc>
      </w:tr>
      <w:tr w:rsidR="004F127D" w:rsidRPr="00C90523" w:rsidTr="00E9106E">
        <w:tc>
          <w:tcPr>
            <w:tcW w:w="8644" w:type="dxa"/>
            <w:gridSpan w:val="2"/>
            <w:shd w:val="clear" w:color="auto" w:fill="F2F2F2" w:themeFill="background1" w:themeFillShade="F2"/>
          </w:tcPr>
          <w:p w:rsidR="004F127D" w:rsidRPr="00C90523" w:rsidRDefault="006568A3" w:rsidP="00E9106E">
            <w:pPr>
              <w:spacing w:after="0" w:line="240" w:lineRule="auto"/>
              <w:jc w:val="both"/>
              <w:rPr>
                <w:b/>
              </w:rPr>
            </w:pPr>
            <w:r w:rsidRPr="006568A3">
              <w:rPr>
                <w:b/>
              </w:rPr>
              <w:t xml:space="preserve">  Economia produtiva</w:t>
            </w:r>
          </w:p>
        </w:tc>
      </w:tr>
      <w:tr w:rsidR="004F127D" w:rsidRPr="00C90523" w:rsidTr="00E9106E">
        <w:tc>
          <w:tcPr>
            <w:tcW w:w="2660" w:type="dxa"/>
          </w:tcPr>
          <w:p w:rsidR="004F127D" w:rsidRPr="00C90523" w:rsidRDefault="006568A3" w:rsidP="00E9106E">
            <w:pPr>
              <w:pStyle w:val="Cabealho"/>
              <w:jc w:val="both"/>
            </w:pPr>
            <w:r w:rsidRPr="006568A3">
              <w:t xml:space="preserve">Apesar das mulheres serem detentoras de saberes tradicionais em várias áreas, tais como a transformação, e de experiência na comercialização de produtos, essencialmente informal, não têm experiência, instrumentos e competências que lhes permitam uma análise consistente das oportunidades do mercado, melhorar os seus produtos e colocá-los de forma sustentável no mercado, factores que, em conjunto com as limitações no acesso ao crédito, impactam o desenvolvimento de iniciativas de negócio. </w:t>
            </w:r>
          </w:p>
        </w:tc>
        <w:tc>
          <w:tcPr>
            <w:tcW w:w="5984" w:type="dxa"/>
          </w:tcPr>
          <w:p w:rsidR="004F127D" w:rsidRPr="00C90523" w:rsidRDefault="006568A3" w:rsidP="00243978">
            <w:pPr>
              <w:pStyle w:val="PargrafodaLista"/>
              <w:numPr>
                <w:ilvl w:val="0"/>
                <w:numId w:val="26"/>
              </w:numPr>
              <w:spacing w:after="0" w:line="240" w:lineRule="auto"/>
              <w:jc w:val="both"/>
            </w:pPr>
            <w:r w:rsidRPr="006568A3">
              <w:t>Incluir nas ações positivas de promoção do empreendedorismo das mulheres estratégias que apoiem uma redistribuição das cargas de trabalho na esfera doméstica e reprodutiva.</w:t>
            </w:r>
          </w:p>
          <w:p w:rsidR="004F127D" w:rsidRPr="00C90523" w:rsidRDefault="006568A3" w:rsidP="00243978">
            <w:pPr>
              <w:pStyle w:val="PargrafodaLista"/>
              <w:numPr>
                <w:ilvl w:val="0"/>
                <w:numId w:val="26"/>
              </w:numPr>
              <w:spacing w:after="0" w:line="240" w:lineRule="auto"/>
              <w:jc w:val="both"/>
            </w:pPr>
            <w:r w:rsidRPr="006568A3">
              <w:t>Garantir um melhor acesso e controlo das mulheres aos recursos produtivos, como ao microcrédito, crédito e serviços conexos, para que possam desenvolver as suas iniciativas de negócio.</w:t>
            </w:r>
          </w:p>
          <w:p w:rsidR="004F127D" w:rsidRPr="00C90523" w:rsidRDefault="006568A3" w:rsidP="00243978">
            <w:pPr>
              <w:pStyle w:val="PargrafodaLista"/>
              <w:numPr>
                <w:ilvl w:val="0"/>
                <w:numId w:val="26"/>
              </w:numPr>
              <w:spacing w:after="0" w:line="240" w:lineRule="auto"/>
              <w:jc w:val="both"/>
            </w:pPr>
            <w:r w:rsidRPr="006568A3">
              <w:t>Contar com programas de formação e inserção laboral para mulheres nas áreas de investimento identificadas no DECRP III (turismo, economias criativas, etc.) para a diversificação económica.</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Valorizar o saber tradicional das mulheres, convertendo-o em saberes que lhe permitam melhorar os seus produtos e colocá-los de forma sustentável no mercado.</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 xml:space="preserve">Reflectir sobre as especificidades do sector informal e os vínculos com as actividades empresariais em Cabo Verde </w:t>
            </w:r>
          </w:p>
          <w:p w:rsidR="004F127D" w:rsidRPr="00C90523" w:rsidRDefault="006568A3" w:rsidP="00243978">
            <w:pPr>
              <w:pStyle w:val="PargrafodaLista"/>
              <w:numPr>
                <w:ilvl w:val="0"/>
                <w:numId w:val="26"/>
              </w:numPr>
              <w:spacing w:after="0" w:line="240" w:lineRule="auto"/>
              <w:jc w:val="both"/>
            </w:pPr>
            <w:r w:rsidRPr="006568A3">
              <w:t>Dar visibilidade às mulheres de sucesso em todas as áreas</w:t>
            </w:r>
          </w:p>
        </w:tc>
      </w:tr>
      <w:tr w:rsidR="004F127D" w:rsidRPr="00C90523" w:rsidTr="00E9106E">
        <w:tc>
          <w:tcPr>
            <w:tcW w:w="2660" w:type="dxa"/>
          </w:tcPr>
          <w:p w:rsidR="004F127D" w:rsidRPr="00C90523" w:rsidRDefault="006568A3" w:rsidP="00E9106E">
            <w:pPr>
              <w:spacing w:after="0" w:line="240" w:lineRule="auto"/>
              <w:jc w:val="both"/>
            </w:pPr>
            <w:r w:rsidRPr="006568A3">
              <w:t xml:space="preserve">A falta de oportunidades no emprego afecta em particular as jovens, incluindo as mais escolarizadas </w:t>
            </w:r>
          </w:p>
          <w:p w:rsidR="004F127D" w:rsidRPr="00C90523" w:rsidRDefault="004F127D" w:rsidP="00E9106E">
            <w:pPr>
              <w:spacing w:after="0" w:line="240" w:lineRule="auto"/>
              <w:jc w:val="both"/>
            </w:pPr>
          </w:p>
        </w:tc>
        <w:tc>
          <w:tcPr>
            <w:tcW w:w="5984" w:type="dxa"/>
          </w:tcPr>
          <w:p w:rsidR="004F127D" w:rsidRPr="00C90523" w:rsidRDefault="006568A3" w:rsidP="00243978">
            <w:pPr>
              <w:pStyle w:val="PargrafodaLista"/>
              <w:numPr>
                <w:ilvl w:val="0"/>
                <w:numId w:val="26"/>
              </w:numPr>
              <w:spacing w:after="0" w:line="240" w:lineRule="auto"/>
              <w:jc w:val="both"/>
            </w:pPr>
            <w:r w:rsidRPr="006568A3">
              <w:t xml:space="preserve">Aprofundar o conhecimento sobre as dinâmicas sociais construídas que bloqueiam o acesso das mulheres jovens ao emprego. </w:t>
            </w:r>
          </w:p>
          <w:p w:rsidR="004F127D" w:rsidRPr="00C90523" w:rsidRDefault="006568A3" w:rsidP="00243978">
            <w:pPr>
              <w:pStyle w:val="PargrafodaLista"/>
              <w:numPr>
                <w:ilvl w:val="0"/>
                <w:numId w:val="27"/>
              </w:numPr>
              <w:spacing w:after="0" w:line="240" w:lineRule="auto"/>
              <w:jc w:val="both"/>
            </w:pPr>
            <w:r w:rsidRPr="006568A3">
              <w:t xml:space="preserve">Trabalhar os estereótipos de género com o sector privado e principais actores do mercado laboral, no que tange a actividades/trabalhos considerados masculinos/femininos e não descriminação na contratação  </w:t>
            </w:r>
          </w:p>
          <w:p w:rsidR="004F127D" w:rsidRPr="00C90523" w:rsidRDefault="006568A3" w:rsidP="00243978">
            <w:pPr>
              <w:pStyle w:val="PargrafodaLista"/>
              <w:numPr>
                <w:ilvl w:val="0"/>
                <w:numId w:val="26"/>
              </w:numPr>
              <w:spacing w:after="0" w:line="240" w:lineRule="auto"/>
              <w:jc w:val="both"/>
            </w:pPr>
            <w:r w:rsidRPr="006568A3">
              <w:t xml:space="preserve">Aprofundar o conhecimento sobre a empregabilidade das mulheres tendo em conta seus estudos médios e superiores.  </w:t>
            </w:r>
          </w:p>
          <w:p w:rsidR="004F127D" w:rsidRPr="00C90523" w:rsidRDefault="006568A3" w:rsidP="00243978">
            <w:pPr>
              <w:pStyle w:val="PargrafodaLista"/>
              <w:numPr>
                <w:ilvl w:val="0"/>
                <w:numId w:val="26"/>
              </w:numPr>
              <w:spacing w:after="0" w:line="240" w:lineRule="auto"/>
              <w:jc w:val="both"/>
            </w:pPr>
            <w:r w:rsidRPr="006568A3">
              <w:t>Contar com políticas activas de emprego para as mulheres jovens com vista à sua melhor integração ao mercado de trabalho.</w:t>
            </w:r>
          </w:p>
        </w:tc>
      </w:tr>
      <w:tr w:rsidR="004F127D" w:rsidRPr="00C90523" w:rsidTr="00E9106E">
        <w:tc>
          <w:tcPr>
            <w:tcW w:w="2660" w:type="dxa"/>
          </w:tcPr>
          <w:p w:rsidR="004F127D" w:rsidRPr="00C90523" w:rsidRDefault="006568A3" w:rsidP="00E9106E">
            <w:pPr>
              <w:spacing w:after="0" w:line="240" w:lineRule="auto"/>
              <w:jc w:val="both"/>
            </w:pPr>
            <w:r w:rsidRPr="006568A3">
              <w:t>A pobreza e a falta de rendimento económico é um problema que afecta particularmente as mulheres do meio rural.</w:t>
            </w:r>
          </w:p>
        </w:tc>
        <w:tc>
          <w:tcPr>
            <w:tcW w:w="5984" w:type="dxa"/>
          </w:tcPr>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Reflectir sobre o importante papel da agricultura familiar de subsistência para a segurança alimentar das famílias rurais e para o desenvolvimento das actividades agrícolas em Cabo Verde.</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Contar com políticas activas de apoio à agricultura familiar de subsistência, com vistas a melhorar a segurança alimentar das famílias rurais.</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Assegurar alternativas económicas para as mulheres que não impliquem a exploração insustentável dos recursos naturais (reconversão de atividades tais como a apanha de areia, etc.) promovendo sua integração em atividades de economia verde</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Tendo em conta as especificidades das áreas protegidas (habitadas) zelar pela integração das preocupações das mulheres nos programas ambientais e de desenvolvimento local.</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Contar com programas sustentáveis de capacitação de mulheres rurais e acompanhar o crescimento dos seus negócios, promovendo o acesso ao mercado.</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Garantir a integração sistemática da abordagem de género nas áreas de investimento identificadas no DECRP III (turismo, economias criativas, etc.) para a diversificação económica, em particular as que dizem respeito ao mundo rural, tal como o agronegócio.</w:t>
            </w:r>
          </w:p>
        </w:tc>
      </w:tr>
      <w:tr w:rsidR="004F127D" w:rsidRPr="00C90523" w:rsidTr="00E9106E">
        <w:tc>
          <w:tcPr>
            <w:tcW w:w="8644" w:type="dxa"/>
            <w:gridSpan w:val="2"/>
            <w:shd w:val="clear" w:color="auto" w:fill="F2F2F2" w:themeFill="background1" w:themeFillShade="F2"/>
          </w:tcPr>
          <w:p w:rsidR="004F127D" w:rsidRPr="00C90523" w:rsidRDefault="006568A3" w:rsidP="00E9106E">
            <w:pPr>
              <w:spacing w:after="0" w:line="240" w:lineRule="auto"/>
              <w:jc w:val="both"/>
              <w:rPr>
                <w:b/>
              </w:rPr>
            </w:pPr>
            <w:r w:rsidRPr="006568A3">
              <w:rPr>
                <w:b/>
              </w:rPr>
              <w:t xml:space="preserve">  Economia Reprodutiva</w:t>
            </w:r>
          </w:p>
        </w:tc>
      </w:tr>
      <w:tr w:rsidR="004F127D" w:rsidRPr="00C90523" w:rsidTr="00E9106E">
        <w:tc>
          <w:tcPr>
            <w:tcW w:w="2660" w:type="dxa"/>
          </w:tcPr>
          <w:p w:rsidR="004F127D" w:rsidRPr="00C90523" w:rsidRDefault="006568A3" w:rsidP="00E9106E">
            <w:pPr>
              <w:spacing w:after="0" w:line="240" w:lineRule="auto"/>
              <w:jc w:val="both"/>
            </w:pPr>
            <w:r w:rsidRPr="006568A3">
              <w:t xml:space="preserve">Os papéis tradicionais atribuídos às mulheres, na esfera doméstica e reprodutiva, mantêm-nas numa posição de dependência económica, e maior pobreza, com maior acuidade no caso das mulheres que detêm menos escolaridade e em agregados chefiados por mulheres. </w:t>
            </w:r>
          </w:p>
          <w:p w:rsidR="004F127D" w:rsidRPr="00C90523" w:rsidRDefault="004F127D" w:rsidP="00E9106E">
            <w:pPr>
              <w:spacing w:after="0" w:line="240" w:lineRule="auto"/>
              <w:jc w:val="both"/>
            </w:pPr>
          </w:p>
        </w:tc>
        <w:tc>
          <w:tcPr>
            <w:tcW w:w="5984" w:type="dxa"/>
          </w:tcPr>
          <w:p w:rsidR="004F127D" w:rsidRPr="00C90523" w:rsidRDefault="006568A3" w:rsidP="00243978">
            <w:pPr>
              <w:pStyle w:val="PargrafodaLista"/>
              <w:numPr>
                <w:ilvl w:val="0"/>
                <w:numId w:val="26"/>
              </w:numPr>
              <w:spacing w:after="0" w:line="240" w:lineRule="auto"/>
              <w:jc w:val="both"/>
            </w:pPr>
            <w:r w:rsidRPr="006568A3">
              <w:t>Aprofundar o conhecimento sobre as dinâmicas sociais construídas que bloqueiam o acesso diferenciado de homens e mulheres às fontes de rendimento e aos recursos económicos.</w:t>
            </w:r>
          </w:p>
          <w:p w:rsidR="004F127D" w:rsidRPr="00C90523" w:rsidRDefault="006568A3" w:rsidP="00243978">
            <w:pPr>
              <w:pStyle w:val="PargrafodaLista"/>
              <w:numPr>
                <w:ilvl w:val="0"/>
                <w:numId w:val="26"/>
              </w:numPr>
              <w:spacing w:after="0" w:line="240" w:lineRule="auto"/>
              <w:jc w:val="both"/>
            </w:pPr>
            <w:r w:rsidRPr="006568A3">
              <w:t xml:space="preserve">Melhorar a compreensão da contribuição do trabalho não remunerado das mulheres para a economia e do retorno que investimentos focalizados na área dos cuidados podem ter (geração de emprego, produtividade, consumo, recursos tributários, redução dos gastos sociais a montante).  </w:t>
            </w:r>
          </w:p>
          <w:p w:rsidR="004F127D" w:rsidRPr="00C90523" w:rsidRDefault="006568A3" w:rsidP="00243978">
            <w:pPr>
              <w:pStyle w:val="PargrafodaLista"/>
              <w:numPr>
                <w:ilvl w:val="0"/>
                <w:numId w:val="26"/>
              </w:numPr>
              <w:spacing w:after="0" w:line="240" w:lineRule="auto"/>
              <w:jc w:val="both"/>
            </w:pPr>
            <w:r w:rsidRPr="006568A3">
              <w:t>Contar com políticas integrais (que tomem em conta os diferentes elementos que dificultam o acesso das mulheres ao emprego) com vistas a incrementar sua integração ao mercado de trabalho.</w:t>
            </w:r>
          </w:p>
          <w:p w:rsidR="004F127D" w:rsidRPr="00C90523" w:rsidRDefault="006568A3" w:rsidP="00243978">
            <w:pPr>
              <w:pStyle w:val="PargrafodaLista"/>
              <w:numPr>
                <w:ilvl w:val="0"/>
                <w:numId w:val="26"/>
              </w:numPr>
              <w:spacing w:after="0" w:line="240" w:lineRule="auto"/>
              <w:jc w:val="both"/>
            </w:pPr>
            <w:r w:rsidRPr="006568A3">
              <w:t xml:space="preserve">Contar com políticas de apoio aos agregados monoparentais  em situação de pobreza com vista a facilitar a conciliação entre o trabalho produtivo e reprodutivo e reduzir sua situação de pobreza. </w:t>
            </w:r>
          </w:p>
          <w:p w:rsidR="004F127D" w:rsidRPr="00C90523" w:rsidRDefault="006568A3" w:rsidP="00243978">
            <w:pPr>
              <w:pStyle w:val="PargrafodaLista"/>
              <w:numPr>
                <w:ilvl w:val="0"/>
                <w:numId w:val="26"/>
              </w:numPr>
              <w:spacing w:after="0" w:line="240" w:lineRule="auto"/>
              <w:jc w:val="both"/>
            </w:pPr>
            <w:r w:rsidRPr="006568A3">
              <w:t>Contar com sistemas de cuidados para crianças e pessoas em situação de dependência (doentes, pessoas com deficiência, etc.) que diminuam a carga total de trabalho das mulheres e tornem mais equitativas as responsabilidades com o bem-estar da família e da sociedade como um todo.</w:t>
            </w:r>
          </w:p>
        </w:tc>
      </w:tr>
      <w:tr w:rsidR="004F127D" w:rsidRPr="00C90523" w:rsidTr="00E9106E">
        <w:tc>
          <w:tcPr>
            <w:tcW w:w="2660" w:type="dxa"/>
          </w:tcPr>
          <w:p w:rsidR="004F127D" w:rsidRPr="00C90523" w:rsidRDefault="006568A3" w:rsidP="00E9106E">
            <w:pPr>
              <w:spacing w:after="0" w:line="240" w:lineRule="auto"/>
              <w:jc w:val="both"/>
            </w:pPr>
            <w:r w:rsidRPr="006568A3">
              <w:rPr>
                <w:rFonts w:eastAsia="Times New Roman"/>
              </w:rPr>
              <w:t>Uma proporção considerável de mulheres (entre elas trabalhadoras familiares não remuneradas, com empregos precários não valorizados socialmente, etc.) não tem acesso à proteção social (com consequências atuais e futuras).</w:t>
            </w:r>
          </w:p>
        </w:tc>
        <w:tc>
          <w:tcPr>
            <w:tcW w:w="5984" w:type="dxa"/>
          </w:tcPr>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Aprofundar o conhecimento sobre o desenho do sistema de proteção social e as possibilidades de acesso das mulheres ao mesmo, tomando em conta sua situação no mercado de trabalho.</w:t>
            </w:r>
          </w:p>
          <w:p w:rsidR="004F127D" w:rsidRPr="00C90523" w:rsidRDefault="006568A3" w:rsidP="00243978">
            <w:pPr>
              <w:pStyle w:val="PargrafodaLista"/>
              <w:numPr>
                <w:ilvl w:val="0"/>
                <w:numId w:val="26"/>
              </w:numPr>
              <w:autoSpaceDE w:val="0"/>
              <w:autoSpaceDN w:val="0"/>
              <w:adjustRightInd w:val="0"/>
              <w:spacing w:after="0" w:line="240" w:lineRule="auto"/>
              <w:jc w:val="both"/>
            </w:pPr>
            <w:r w:rsidRPr="006568A3">
              <w:t>Ampliar a cobertura das políticas e os programas de proteção social, mediante a inclusão da população que trabalha no sector informal e o trabalho familiar</w:t>
            </w:r>
          </w:p>
        </w:tc>
      </w:tr>
      <w:tr w:rsidR="004F127D" w:rsidRPr="00C90523" w:rsidTr="00E9106E">
        <w:tc>
          <w:tcPr>
            <w:tcW w:w="8644" w:type="dxa"/>
            <w:gridSpan w:val="2"/>
            <w:shd w:val="clear" w:color="auto" w:fill="F2F2F2" w:themeFill="background1" w:themeFillShade="F2"/>
          </w:tcPr>
          <w:p w:rsidR="004F127D" w:rsidRPr="00C90523" w:rsidRDefault="006568A3" w:rsidP="00E9106E">
            <w:pPr>
              <w:spacing w:after="0" w:line="240" w:lineRule="auto"/>
              <w:jc w:val="both"/>
              <w:rPr>
                <w:b/>
              </w:rPr>
            </w:pPr>
            <w:r w:rsidRPr="006568A3">
              <w:rPr>
                <w:b/>
              </w:rPr>
              <w:t xml:space="preserve">  Participação política e nas esferas de tomada de decisão</w:t>
            </w:r>
          </w:p>
        </w:tc>
      </w:tr>
      <w:tr w:rsidR="004F127D" w:rsidRPr="00C90523" w:rsidTr="00E9106E">
        <w:tc>
          <w:tcPr>
            <w:tcW w:w="2660" w:type="dxa"/>
          </w:tcPr>
          <w:p w:rsidR="004F127D" w:rsidRPr="00C90523" w:rsidRDefault="006568A3" w:rsidP="00E9106E">
            <w:pPr>
              <w:spacing w:after="0" w:line="240" w:lineRule="auto"/>
              <w:jc w:val="both"/>
            </w:pPr>
            <w:r w:rsidRPr="006568A3">
              <w:t>O acesso e a participação das mulheres na definição e decisão sobre políticas públicas é ainda limitado e espelha as relações sociais de género que, à luz do patriarcado, remetem as mulheres para o espaço doméstico e os homens para o espaço público.</w:t>
            </w:r>
          </w:p>
        </w:tc>
        <w:tc>
          <w:tcPr>
            <w:tcW w:w="5984" w:type="dxa"/>
          </w:tcPr>
          <w:p w:rsidR="004F127D" w:rsidRPr="00C90523" w:rsidRDefault="006568A3" w:rsidP="00243978">
            <w:pPr>
              <w:pStyle w:val="PargrafodaLista"/>
              <w:numPr>
                <w:ilvl w:val="0"/>
                <w:numId w:val="21"/>
              </w:numPr>
              <w:suppressAutoHyphens/>
              <w:spacing w:after="0" w:line="240" w:lineRule="auto"/>
              <w:contextualSpacing w:val="0"/>
              <w:jc w:val="both"/>
            </w:pPr>
            <w:r w:rsidRPr="006568A3">
              <w:t xml:space="preserve">Introduzir mecanismos efectivos de promoção da representação política das mulheres </w:t>
            </w:r>
          </w:p>
          <w:p w:rsidR="004F127D" w:rsidRPr="00C90523" w:rsidRDefault="006568A3" w:rsidP="00243978">
            <w:pPr>
              <w:pStyle w:val="PargrafodaLista"/>
              <w:numPr>
                <w:ilvl w:val="0"/>
                <w:numId w:val="21"/>
              </w:numPr>
              <w:suppressAutoHyphens/>
              <w:spacing w:after="0" w:line="240" w:lineRule="auto"/>
              <w:contextualSpacing w:val="0"/>
              <w:jc w:val="both"/>
            </w:pPr>
            <w:r w:rsidRPr="006568A3">
              <w:t xml:space="preserve">Melhorar a compreensão de homens, mulheres e instituições dos instrumentos utilizados para promover a participação política das mulheres, e da sua pertinência </w:t>
            </w:r>
          </w:p>
          <w:p w:rsidR="004F127D" w:rsidRPr="00C90523" w:rsidRDefault="006568A3" w:rsidP="00243978">
            <w:pPr>
              <w:pStyle w:val="PargrafodaLista"/>
              <w:numPr>
                <w:ilvl w:val="0"/>
                <w:numId w:val="21"/>
              </w:numPr>
              <w:suppressAutoHyphens/>
              <w:spacing w:after="0" w:line="240" w:lineRule="auto"/>
              <w:contextualSpacing w:val="0"/>
              <w:jc w:val="both"/>
            </w:pPr>
            <w:r w:rsidRPr="006568A3">
              <w:t xml:space="preserve">Adoptar medidas específicas e temporárias a nível da administração pública para corrigir as desigualdades entre mulheres e homens existentes em todas as instâncias de tomada de decisão </w:t>
            </w:r>
          </w:p>
          <w:p w:rsidR="004F127D" w:rsidRPr="00C90523" w:rsidRDefault="006568A3" w:rsidP="00243978">
            <w:pPr>
              <w:pStyle w:val="PargrafodaLista"/>
              <w:numPr>
                <w:ilvl w:val="0"/>
                <w:numId w:val="21"/>
              </w:numPr>
              <w:suppressAutoHyphens/>
              <w:spacing w:after="0" w:line="240" w:lineRule="auto"/>
              <w:contextualSpacing w:val="0"/>
              <w:jc w:val="both"/>
            </w:pPr>
            <w:r w:rsidRPr="006568A3">
              <w:t>Promover uma mudança das práticas institucionais, em particular as partidárias, que impedem os progressos das mulheres em pé de igualdade com os homens</w:t>
            </w:r>
          </w:p>
          <w:p w:rsidR="004F127D" w:rsidRPr="00C90523" w:rsidRDefault="006568A3" w:rsidP="00243978">
            <w:pPr>
              <w:pStyle w:val="PargrafodaLista"/>
              <w:numPr>
                <w:ilvl w:val="0"/>
                <w:numId w:val="21"/>
              </w:numPr>
              <w:suppressAutoHyphens/>
              <w:spacing w:after="0" w:line="240" w:lineRule="auto"/>
              <w:contextualSpacing w:val="0"/>
              <w:jc w:val="both"/>
            </w:pPr>
            <w:r w:rsidRPr="006568A3">
              <w:t>Mobilizar o sector privado e as associações comunitárias de base sobre questões de igualdade de género, quer em termos de representação das mulheres a nível da tomada de decisão, quer em termos de programação de género destas organizações</w:t>
            </w:r>
          </w:p>
        </w:tc>
      </w:tr>
      <w:tr w:rsidR="004F127D" w:rsidRPr="00C90523" w:rsidTr="00E9106E">
        <w:tc>
          <w:tcPr>
            <w:tcW w:w="2660" w:type="dxa"/>
          </w:tcPr>
          <w:p w:rsidR="004F127D" w:rsidRPr="00C90523" w:rsidRDefault="006568A3" w:rsidP="00E9106E">
            <w:pPr>
              <w:shd w:val="clear" w:color="auto" w:fill="FFFFFF" w:themeFill="background1"/>
              <w:spacing w:after="0" w:line="240" w:lineRule="auto"/>
              <w:contextualSpacing/>
              <w:jc w:val="both"/>
            </w:pPr>
            <w:r w:rsidRPr="006568A3">
              <w:t>As mulheres têm menores oportunidades de desenvolvimento do seu capital social e capacidades políticas, devido a menores oportunidades de exercício de liderança e, consequentemente, de angariação da necessária base de apoio político.</w:t>
            </w:r>
          </w:p>
        </w:tc>
        <w:tc>
          <w:tcPr>
            <w:tcW w:w="5984" w:type="dxa"/>
          </w:tcPr>
          <w:p w:rsidR="004F127D" w:rsidRPr="00C90523" w:rsidRDefault="006568A3" w:rsidP="00243978">
            <w:pPr>
              <w:pStyle w:val="PargrafodaLista"/>
              <w:numPr>
                <w:ilvl w:val="0"/>
                <w:numId w:val="21"/>
              </w:numPr>
              <w:suppressAutoHyphens/>
              <w:spacing w:after="0" w:line="240" w:lineRule="auto"/>
              <w:contextualSpacing w:val="0"/>
              <w:jc w:val="both"/>
            </w:pPr>
            <w:r w:rsidRPr="006568A3">
              <w:t>Melhorar as capacidades de liderança das mulheres, em particular no âmbito da actividade político-partidária e das lideranças juvenis</w:t>
            </w:r>
          </w:p>
          <w:p w:rsidR="004F127D" w:rsidRPr="00C90523" w:rsidRDefault="006568A3" w:rsidP="00243978">
            <w:pPr>
              <w:pStyle w:val="PargrafodaLista"/>
              <w:numPr>
                <w:ilvl w:val="0"/>
                <w:numId w:val="21"/>
              </w:numPr>
              <w:suppressAutoHyphens/>
              <w:spacing w:after="0" w:line="240" w:lineRule="auto"/>
              <w:contextualSpacing w:val="0"/>
              <w:jc w:val="both"/>
            </w:pPr>
            <w:r w:rsidRPr="006568A3">
              <w:t xml:space="preserve">Promover a nível nacional e local uma cultura institucional promotora da participação das mulheres na tomada de decisão e de atenção às questões de género </w:t>
            </w:r>
          </w:p>
          <w:p w:rsidR="004F127D" w:rsidRPr="00C90523" w:rsidRDefault="004F127D" w:rsidP="00E9106E">
            <w:pPr>
              <w:spacing w:after="0" w:line="240" w:lineRule="auto"/>
              <w:contextualSpacing/>
              <w:jc w:val="both"/>
            </w:pPr>
          </w:p>
        </w:tc>
      </w:tr>
      <w:tr w:rsidR="004F127D" w:rsidRPr="00C90523" w:rsidTr="00E9106E">
        <w:tc>
          <w:tcPr>
            <w:tcW w:w="2660" w:type="dxa"/>
          </w:tcPr>
          <w:p w:rsidR="004F127D" w:rsidRPr="00C90523" w:rsidRDefault="006568A3" w:rsidP="00E9106E">
            <w:pPr>
              <w:tabs>
                <w:tab w:val="num" w:pos="360"/>
              </w:tabs>
              <w:spacing w:after="0" w:line="240" w:lineRule="auto"/>
              <w:jc w:val="both"/>
              <w:rPr>
                <w:rFonts w:cs="Arial"/>
              </w:rPr>
            </w:pPr>
            <w:r w:rsidRPr="006568A3">
              <w:rPr>
                <w:rFonts w:cs="Arial"/>
              </w:rPr>
              <w:t>Apesar de alguma melhoria, a média continuam a contribuir para uma imagem estereotipadas das mulheres</w:t>
            </w:r>
          </w:p>
        </w:tc>
        <w:tc>
          <w:tcPr>
            <w:tcW w:w="5984" w:type="dxa"/>
          </w:tcPr>
          <w:p w:rsidR="004F127D" w:rsidRPr="00C90523" w:rsidRDefault="006568A3" w:rsidP="00243978">
            <w:pPr>
              <w:pStyle w:val="PargrafodaLista"/>
              <w:numPr>
                <w:ilvl w:val="0"/>
                <w:numId w:val="28"/>
              </w:numPr>
              <w:autoSpaceDE w:val="0"/>
              <w:autoSpaceDN w:val="0"/>
              <w:adjustRightInd w:val="0"/>
              <w:spacing w:after="0" w:line="240" w:lineRule="auto"/>
              <w:jc w:val="both"/>
            </w:pPr>
            <w:r w:rsidRPr="006568A3">
              <w:t xml:space="preserve">Melhorar o conhecimento dos jornalistas do quadro legal de Cabo Verde (em termos de papel da média em matéria de igualdade de género), bem como de outros profissionais do sector, incluindo publicitários, designers, etc. </w:t>
            </w:r>
          </w:p>
          <w:p w:rsidR="004F127D" w:rsidRPr="00C90523" w:rsidRDefault="006568A3" w:rsidP="00243978">
            <w:pPr>
              <w:pStyle w:val="PargrafodaLista"/>
              <w:numPr>
                <w:ilvl w:val="0"/>
                <w:numId w:val="22"/>
              </w:numPr>
              <w:autoSpaceDE w:val="0"/>
              <w:autoSpaceDN w:val="0"/>
              <w:adjustRightInd w:val="0"/>
              <w:spacing w:after="0" w:line="240" w:lineRule="auto"/>
              <w:jc w:val="both"/>
            </w:pPr>
            <w:r w:rsidRPr="006568A3">
              <w:t xml:space="preserve">Aprofundar o papel da comunicação social na promoção de uma imagem equilibrada das mulheres e dos homens, nos seus múltiplos papéis, incluindo a co-responsabilidade no espaço privado, bem como as parcerias no âmbito de campanhas específicas. </w:t>
            </w:r>
          </w:p>
        </w:tc>
      </w:tr>
      <w:tr w:rsidR="004F127D" w:rsidRPr="00C90523" w:rsidTr="00E9106E">
        <w:trPr>
          <w:trHeight w:val="271"/>
        </w:trPr>
        <w:tc>
          <w:tcPr>
            <w:tcW w:w="8644" w:type="dxa"/>
            <w:gridSpan w:val="2"/>
            <w:shd w:val="clear" w:color="auto" w:fill="F2F2F2" w:themeFill="background1" w:themeFillShade="F2"/>
          </w:tcPr>
          <w:p w:rsidR="004F127D" w:rsidRPr="00C90523" w:rsidRDefault="006568A3" w:rsidP="00E9106E">
            <w:pPr>
              <w:spacing w:after="0" w:line="240" w:lineRule="auto"/>
              <w:jc w:val="both"/>
              <w:rPr>
                <w:b/>
              </w:rPr>
            </w:pPr>
            <w:r w:rsidRPr="006568A3">
              <w:rPr>
                <w:b/>
              </w:rPr>
              <w:t xml:space="preserve">  Institucionalização da abordagem de género</w:t>
            </w:r>
          </w:p>
        </w:tc>
      </w:tr>
      <w:tr w:rsidR="004F127D" w:rsidRPr="00C90523" w:rsidTr="00E9106E">
        <w:tc>
          <w:tcPr>
            <w:tcW w:w="2660" w:type="dxa"/>
          </w:tcPr>
          <w:p w:rsidR="004F127D" w:rsidRPr="00C90523" w:rsidRDefault="006568A3" w:rsidP="00E9106E">
            <w:pPr>
              <w:spacing w:after="0" w:line="240" w:lineRule="auto"/>
              <w:jc w:val="both"/>
            </w:pPr>
            <w:r w:rsidRPr="006568A3">
              <w:t>Apesar dos progressos, a produção de estatísticas, estudos e análises quantitativas e qualitativas sobre a situação de género no país, ainda apresentam insuficiências, em particular em relação à produção de indicadores económicos, à caracterização da situação de grupos específicos de mulheres, e à pesquiza operacional e académica.</w:t>
            </w:r>
          </w:p>
        </w:tc>
        <w:tc>
          <w:tcPr>
            <w:tcW w:w="5984" w:type="dxa"/>
          </w:tcPr>
          <w:p w:rsidR="004F127D" w:rsidRPr="00C90523" w:rsidRDefault="006568A3" w:rsidP="00243978">
            <w:pPr>
              <w:pStyle w:val="PargrafodaLista"/>
              <w:numPr>
                <w:ilvl w:val="0"/>
                <w:numId w:val="23"/>
              </w:numPr>
              <w:spacing w:after="0" w:line="240" w:lineRule="auto"/>
              <w:jc w:val="both"/>
            </w:pPr>
            <w:r w:rsidRPr="006568A3">
              <w:t xml:space="preserve">Produzir dados em falta, em particular no que diz respeito ao domínio económico, tais como o acesso ao crédito, desigualdade salarial, propriedade da terra, entre outros) </w:t>
            </w:r>
          </w:p>
          <w:p w:rsidR="004F127D" w:rsidRPr="00C90523" w:rsidRDefault="006568A3" w:rsidP="00243978">
            <w:pPr>
              <w:pStyle w:val="PargrafodaLista"/>
              <w:numPr>
                <w:ilvl w:val="0"/>
                <w:numId w:val="23"/>
              </w:numPr>
              <w:spacing w:after="0" w:line="240" w:lineRule="auto"/>
              <w:jc w:val="both"/>
            </w:pPr>
            <w:r w:rsidRPr="006568A3">
              <w:t>Assegurar a integração sistemática da abordagem de género nas várias operações estatísticas da agenda estatística nacional tendo em conta as suas várias etapas, desde a concepção até ao tratamento, análise e divulgação dos dados</w:t>
            </w:r>
          </w:p>
          <w:p w:rsidR="004F127D" w:rsidRPr="00C90523" w:rsidRDefault="006568A3" w:rsidP="00243978">
            <w:pPr>
              <w:pStyle w:val="PargrafodaLista"/>
              <w:numPr>
                <w:ilvl w:val="0"/>
                <w:numId w:val="23"/>
              </w:numPr>
              <w:spacing w:after="0" w:line="240" w:lineRule="auto"/>
              <w:jc w:val="both"/>
            </w:pPr>
            <w:r w:rsidRPr="006568A3">
              <w:t>Assegurar a disponibilidades de dados que permitam uma adequada caracterização de grupos particulares de mulheres em situação de particular desvantagem (pobreza, rural, deficiência, etc.)</w:t>
            </w:r>
          </w:p>
          <w:p w:rsidR="004F127D" w:rsidRPr="00C90523" w:rsidRDefault="006568A3" w:rsidP="00243978">
            <w:pPr>
              <w:pStyle w:val="PargrafodaLista"/>
              <w:numPr>
                <w:ilvl w:val="0"/>
                <w:numId w:val="23"/>
              </w:numPr>
              <w:spacing w:after="0" w:line="240" w:lineRule="auto"/>
              <w:jc w:val="both"/>
            </w:pPr>
            <w:r w:rsidRPr="006568A3">
              <w:t xml:space="preserve">Apoiar os sectores produtores de dados na melhoria dos seus sistemas, para uma melhor identificação das questões de género a ter em conta na planificação  </w:t>
            </w:r>
          </w:p>
          <w:p w:rsidR="004F127D" w:rsidRPr="00C90523" w:rsidRDefault="006568A3" w:rsidP="00243978">
            <w:pPr>
              <w:pStyle w:val="PargrafodaLista"/>
              <w:numPr>
                <w:ilvl w:val="0"/>
                <w:numId w:val="23"/>
              </w:numPr>
              <w:suppressAutoHyphens/>
              <w:spacing w:after="0" w:line="240" w:lineRule="auto"/>
              <w:contextualSpacing w:val="0"/>
              <w:jc w:val="both"/>
            </w:pPr>
            <w:r w:rsidRPr="006568A3">
              <w:t>Articular com o CIGEF, Universidades e INE para a realização de estudos e análises, operacionais e académicas, voltadas para as várias temáticas no domínio da igualdade de género, entre as quais o aprofundamento da reflexão sobre a estrutura familiar em Cabo Verde</w:t>
            </w:r>
          </w:p>
          <w:p w:rsidR="004F127D" w:rsidRPr="00C90523" w:rsidRDefault="006568A3" w:rsidP="00243978">
            <w:pPr>
              <w:pStyle w:val="PargrafodaLista"/>
              <w:numPr>
                <w:ilvl w:val="0"/>
                <w:numId w:val="23"/>
              </w:numPr>
              <w:suppressAutoHyphens/>
              <w:spacing w:after="0" w:line="240" w:lineRule="auto"/>
              <w:contextualSpacing w:val="0"/>
              <w:jc w:val="both"/>
            </w:pPr>
            <w:r w:rsidRPr="006568A3">
              <w:t>Aprofundar a análise da contribuição do trabalho não remunerado das mulheres para a economia nacional, mediante tratamento aprofundado dos dados sobre uso do tempo e estudos qualitativos complementares</w:t>
            </w:r>
          </w:p>
        </w:tc>
      </w:tr>
      <w:tr w:rsidR="004F127D" w:rsidRPr="00C90523" w:rsidTr="00E9106E">
        <w:tc>
          <w:tcPr>
            <w:tcW w:w="2660" w:type="dxa"/>
          </w:tcPr>
          <w:p w:rsidR="004F127D" w:rsidRPr="00C90523" w:rsidRDefault="004F127D" w:rsidP="00E9106E">
            <w:pPr>
              <w:pStyle w:val="Pa24"/>
              <w:spacing w:line="240" w:lineRule="auto"/>
              <w:jc w:val="both"/>
              <w:rPr>
                <w:rFonts w:asciiTheme="minorHAnsi" w:eastAsia="SimSun" w:hAnsiTheme="minorHAnsi" w:cs="Calibri"/>
                <w:sz w:val="22"/>
                <w:szCs w:val="22"/>
              </w:rPr>
            </w:pPr>
            <w:r w:rsidRPr="00C90523">
              <w:rPr>
                <w:rFonts w:asciiTheme="minorHAnsi" w:eastAsia="SimSun" w:hAnsiTheme="minorHAnsi" w:cs="Calibri"/>
                <w:sz w:val="22"/>
                <w:szCs w:val="22"/>
              </w:rPr>
              <w:t xml:space="preserve">As instituições públicas têm uma ténue cultura de integração sistemática da abordagem de género nos seus sectores, e não adoptam este paradigma na elaboração das análises de situação que informam os seus exercícios de planificação e orçamentação, ou na implementação dos seus programas e serviços, ao mesmo tempo que não existem mecanismos efectivos para a prestação de contas em matéria de integração da abordagem de género. </w:t>
            </w:r>
          </w:p>
        </w:tc>
        <w:tc>
          <w:tcPr>
            <w:tcW w:w="5984" w:type="dxa"/>
          </w:tcPr>
          <w:p w:rsidR="004F127D" w:rsidRPr="00C90523" w:rsidRDefault="006568A3" w:rsidP="00243978">
            <w:pPr>
              <w:pStyle w:val="PargrafodaLista"/>
              <w:numPr>
                <w:ilvl w:val="0"/>
                <w:numId w:val="24"/>
              </w:numPr>
              <w:spacing w:line="240" w:lineRule="auto"/>
              <w:jc w:val="both"/>
            </w:pPr>
            <w:r w:rsidRPr="006568A3">
              <w:t>Desenvolver uma efectiva cultura de género nas instituições para a adopção da abordagem de género</w:t>
            </w:r>
          </w:p>
          <w:p w:rsidR="004F127D" w:rsidRPr="00C90523" w:rsidRDefault="006568A3" w:rsidP="00243978">
            <w:pPr>
              <w:pStyle w:val="PargrafodaLista"/>
              <w:numPr>
                <w:ilvl w:val="0"/>
                <w:numId w:val="24"/>
              </w:numPr>
              <w:spacing w:line="240" w:lineRule="auto"/>
              <w:jc w:val="both"/>
            </w:pPr>
            <w:r w:rsidRPr="006568A3">
              <w:t>Utilizar sistematicamente dados desagregados na planificação a fim de dar visibilidade aos constrangimentos de género nos vários domínios e permitir a definição de medidas adequadas.</w:t>
            </w:r>
          </w:p>
          <w:p w:rsidR="004F127D" w:rsidRPr="00C90523" w:rsidRDefault="006568A3" w:rsidP="00243978">
            <w:pPr>
              <w:pStyle w:val="PargrafodaLista"/>
              <w:numPr>
                <w:ilvl w:val="0"/>
                <w:numId w:val="24"/>
              </w:numPr>
              <w:spacing w:line="240" w:lineRule="auto"/>
              <w:jc w:val="both"/>
            </w:pPr>
            <w:r w:rsidRPr="006568A3">
              <w:t xml:space="preserve">Assegurar que as questões de género são integradas de forma transversal nas políticas e planos sectoriais, seguindo uma abordagem de planificação e orçamentação sensível ao género, tanto nos sectores sociais, como nas áreas/clusters da Agenda de Transformação (agronegócios, economias criativas, turismo, etc.) </w:t>
            </w:r>
          </w:p>
          <w:p w:rsidR="004F127D" w:rsidRPr="00C90523" w:rsidRDefault="006568A3" w:rsidP="00243978">
            <w:pPr>
              <w:pStyle w:val="PargrafodaLista"/>
              <w:numPr>
                <w:ilvl w:val="0"/>
                <w:numId w:val="24"/>
              </w:numPr>
              <w:spacing w:line="240" w:lineRule="auto"/>
              <w:jc w:val="both"/>
            </w:pPr>
            <w:r w:rsidRPr="006568A3">
              <w:t>Reforçar a apropriação de ferramentas teóricas e metodológicas da abordagem de género e equacionar as modalidades de organização interna e parcerias para efectivar o trabalho da sua integração no trabalho dos sectores.</w:t>
            </w:r>
          </w:p>
          <w:p w:rsidR="004F127D" w:rsidRPr="00C90523" w:rsidRDefault="006568A3" w:rsidP="00243978">
            <w:pPr>
              <w:pStyle w:val="PargrafodaLista"/>
              <w:numPr>
                <w:ilvl w:val="0"/>
                <w:numId w:val="24"/>
              </w:numPr>
              <w:autoSpaceDE w:val="0"/>
              <w:autoSpaceDN w:val="0"/>
              <w:adjustRightInd w:val="0"/>
              <w:spacing w:line="240" w:lineRule="auto"/>
              <w:jc w:val="both"/>
            </w:pPr>
            <w:r w:rsidRPr="006568A3">
              <w:t>Dinamizar as obrigações sectoriais em matéria de integração da abordagem de género, assegurando um seguimento dos progressos nos vários sectores (mediante relatórios de género setoriais e a sua revisão periódica a nível superior, quer do governo, quer do Parlamento)</w:t>
            </w:r>
          </w:p>
        </w:tc>
      </w:tr>
      <w:tr w:rsidR="004F127D" w:rsidRPr="00C90523" w:rsidTr="00E9106E">
        <w:tc>
          <w:tcPr>
            <w:tcW w:w="2660" w:type="dxa"/>
          </w:tcPr>
          <w:p w:rsidR="004F127D" w:rsidRPr="00C90523" w:rsidRDefault="006568A3" w:rsidP="00E9106E">
            <w:pPr>
              <w:spacing w:after="0" w:line="240" w:lineRule="auto"/>
              <w:jc w:val="both"/>
            </w:pPr>
            <w:r w:rsidRPr="006568A3">
              <w:t>A apropriação da abordagem de género é fragilmente reflectida nas prioridades de desenvolvimento nacionais, conforme explicitadas pelo DECRP III ou no quadro do seguimento de prioridades de desenvolvimento internacionalmente acordadas, como os ODMs.</w:t>
            </w:r>
          </w:p>
        </w:tc>
        <w:tc>
          <w:tcPr>
            <w:tcW w:w="5984" w:type="dxa"/>
          </w:tcPr>
          <w:p w:rsidR="004F127D" w:rsidRPr="00C90523" w:rsidRDefault="006568A3" w:rsidP="00243978">
            <w:pPr>
              <w:pStyle w:val="PargrafodaLista"/>
              <w:numPr>
                <w:ilvl w:val="0"/>
                <w:numId w:val="25"/>
              </w:numPr>
              <w:spacing w:line="240" w:lineRule="auto"/>
              <w:ind w:left="357" w:hanging="357"/>
              <w:jc w:val="both"/>
            </w:pPr>
            <w:r w:rsidRPr="006568A3">
              <w:t>Promover um entendimento comum quanto aos ganhos que se pode esperar dos investimentos em políticas sensíveis ao género, para a eficiência e eficácia dos investimentos públicos e impacto nos resultados de desenvolvimento</w:t>
            </w:r>
          </w:p>
          <w:p w:rsidR="004F127D" w:rsidRPr="00C90523" w:rsidRDefault="006568A3" w:rsidP="00243978">
            <w:pPr>
              <w:pStyle w:val="PargrafodaLista"/>
              <w:numPr>
                <w:ilvl w:val="0"/>
                <w:numId w:val="25"/>
              </w:numPr>
              <w:spacing w:line="240" w:lineRule="auto"/>
              <w:ind w:left="357" w:hanging="357"/>
              <w:jc w:val="both"/>
            </w:pPr>
            <w:r w:rsidRPr="006568A3">
              <w:t>Desenvolver as capacidades endógenas para trabalhar as políticas económicas numa perspectiva de género, com enfoque nos decisores, técnicos do sistema de planificação e academia (análise económica, análise das políticas, redução da pobreza, emprego, macroeconomia, comércio, fiscalidade, orçamento).</w:t>
            </w:r>
          </w:p>
          <w:p w:rsidR="004F127D" w:rsidRPr="00C90523" w:rsidRDefault="006568A3" w:rsidP="00243978">
            <w:pPr>
              <w:pStyle w:val="PargrafodaLista"/>
              <w:numPr>
                <w:ilvl w:val="0"/>
                <w:numId w:val="25"/>
              </w:numPr>
              <w:spacing w:line="240" w:lineRule="auto"/>
              <w:ind w:left="357" w:hanging="357"/>
              <w:jc w:val="both"/>
            </w:pPr>
            <w:r w:rsidRPr="006568A3">
              <w:t xml:space="preserve">Demonstrar o potencial económico que os investimentos focalizados na área dos cuidados podem ter - geração de emprego, produtividade, consumo, recursos tributários, redução dos gastos sociais a montante) </w:t>
            </w:r>
          </w:p>
          <w:p w:rsidR="004F127D" w:rsidRPr="00C90523" w:rsidRDefault="006568A3" w:rsidP="00243978">
            <w:pPr>
              <w:pStyle w:val="PargrafodaLista"/>
              <w:numPr>
                <w:ilvl w:val="0"/>
                <w:numId w:val="25"/>
              </w:numPr>
              <w:spacing w:line="240" w:lineRule="auto"/>
              <w:ind w:left="357" w:hanging="357"/>
              <w:jc w:val="both"/>
            </w:pPr>
            <w:r w:rsidRPr="006568A3">
              <w:t xml:space="preserve">Assegurar que o quadro de desenvolvimento para o pós-2015 (objectivos de desenvolvimento sustentáveis – ODS), que vier a ser acordado internacionalmente, e a ser apropriado a nível nacional, integre de raiz uma abordagem transversal de género    </w:t>
            </w:r>
          </w:p>
        </w:tc>
      </w:tr>
      <w:tr w:rsidR="004F127D" w:rsidRPr="00C90523" w:rsidTr="00E9106E">
        <w:tc>
          <w:tcPr>
            <w:tcW w:w="2660" w:type="dxa"/>
          </w:tcPr>
          <w:p w:rsidR="004F127D" w:rsidRPr="00C90523" w:rsidRDefault="006568A3" w:rsidP="00E9106E">
            <w:pPr>
              <w:spacing w:after="0" w:line="240" w:lineRule="auto"/>
              <w:jc w:val="both"/>
            </w:pPr>
            <w:r w:rsidRPr="006568A3">
              <w:t xml:space="preserve">A capacidade de actuação e coordenação intersectorial do ICIEG é reduzida em função da fraca disponibilidade de recursos humanos e financeiros, bem como de mecanismos e processos estabelecidos com vista a essa coordenação, e condições para uma parceria permanente com a sociedade civil e o poder local.  </w:t>
            </w:r>
          </w:p>
        </w:tc>
        <w:tc>
          <w:tcPr>
            <w:tcW w:w="5984" w:type="dxa"/>
          </w:tcPr>
          <w:p w:rsidR="004F127D" w:rsidRPr="00C90523" w:rsidRDefault="006568A3" w:rsidP="00243978">
            <w:pPr>
              <w:pStyle w:val="PargrafodaLista"/>
              <w:numPr>
                <w:ilvl w:val="0"/>
                <w:numId w:val="26"/>
              </w:numPr>
              <w:spacing w:line="240" w:lineRule="auto"/>
              <w:jc w:val="both"/>
            </w:pPr>
            <w:r w:rsidRPr="006568A3">
              <w:t>Adotar as medidas necessárias para fortalecer o ICIEG, dotando-o de mais recursos humanos, financeiros e técnicos</w:t>
            </w:r>
          </w:p>
          <w:p w:rsidR="004F127D" w:rsidRPr="00C90523" w:rsidRDefault="006568A3" w:rsidP="00243978">
            <w:pPr>
              <w:pStyle w:val="PargrafodaLista"/>
              <w:numPr>
                <w:ilvl w:val="0"/>
                <w:numId w:val="26"/>
              </w:numPr>
              <w:spacing w:line="240" w:lineRule="auto"/>
              <w:jc w:val="both"/>
            </w:pPr>
            <w:r w:rsidRPr="006568A3">
              <w:t>Reforçar os mecanismos de coordenação no âmbito da implementação e seguimento do PNIG e as capacidades dos pontos focais de género nos sectores</w:t>
            </w:r>
          </w:p>
          <w:p w:rsidR="004F127D" w:rsidRPr="00C90523" w:rsidRDefault="006568A3" w:rsidP="00243978">
            <w:pPr>
              <w:pStyle w:val="PargrafodaLista"/>
              <w:numPr>
                <w:ilvl w:val="0"/>
                <w:numId w:val="26"/>
              </w:numPr>
              <w:spacing w:line="240" w:lineRule="auto"/>
              <w:jc w:val="both"/>
            </w:pPr>
            <w:r w:rsidRPr="006568A3">
              <w:t>Fazer os investimentos necessários à apropriação da abordagem de género e às necessidades de assistência técnica dos sectores neste contexto</w:t>
            </w:r>
          </w:p>
          <w:p w:rsidR="004F127D" w:rsidRPr="00C90523" w:rsidRDefault="006568A3" w:rsidP="00243978">
            <w:pPr>
              <w:pStyle w:val="PargrafodaLista"/>
              <w:numPr>
                <w:ilvl w:val="0"/>
                <w:numId w:val="26"/>
              </w:numPr>
              <w:spacing w:line="240" w:lineRule="auto"/>
              <w:jc w:val="both"/>
            </w:pPr>
            <w:r w:rsidRPr="006568A3">
              <w:t xml:space="preserve">Reforçar as parcerias a nível local e a definição, implementação, seguimento e avaliação de políticas de igualdade de género a nível municipal ou regional  </w:t>
            </w:r>
          </w:p>
          <w:p w:rsidR="004F127D" w:rsidRPr="00C90523" w:rsidRDefault="006568A3" w:rsidP="00243978">
            <w:pPr>
              <w:pStyle w:val="PargrafodaLista"/>
              <w:numPr>
                <w:ilvl w:val="0"/>
                <w:numId w:val="26"/>
              </w:numPr>
              <w:spacing w:line="240" w:lineRule="auto"/>
              <w:jc w:val="both"/>
            </w:pPr>
            <w:r w:rsidRPr="006568A3">
              <w:t>Facultar às OSC os fundos necessários ao desenvolvimento da sua acção aos vários níveis, desde a sua acção a nível estratégico e de advocacia, aos níveis mais operacionais e micro</w:t>
            </w:r>
            <w:r w:rsidRPr="006568A3">
              <w:rPr>
                <w:highlight w:val="yellow"/>
              </w:rPr>
              <w:t xml:space="preserve"> </w:t>
            </w:r>
          </w:p>
          <w:p w:rsidR="004F127D" w:rsidRPr="00C90523" w:rsidRDefault="006568A3" w:rsidP="00243978">
            <w:pPr>
              <w:pStyle w:val="PargrafodaLista"/>
              <w:numPr>
                <w:ilvl w:val="0"/>
                <w:numId w:val="26"/>
              </w:numPr>
              <w:spacing w:line="240" w:lineRule="auto"/>
              <w:jc w:val="both"/>
            </w:pPr>
            <w:r w:rsidRPr="006568A3">
              <w:t>Fortalecer as capacidades do poder local para desenhar e implementar políticas locais de Igualdade de Género e apoiar a mobilização de recursos orçamentais.</w:t>
            </w:r>
          </w:p>
        </w:tc>
      </w:tr>
      <w:tr w:rsidR="004F127D" w:rsidRPr="00C90523" w:rsidTr="00E9106E">
        <w:tc>
          <w:tcPr>
            <w:tcW w:w="2660" w:type="dxa"/>
          </w:tcPr>
          <w:p w:rsidR="004F127D" w:rsidRPr="00C90523" w:rsidRDefault="006568A3" w:rsidP="00E9106E">
            <w:pPr>
              <w:spacing w:after="0" w:line="240" w:lineRule="auto"/>
              <w:jc w:val="both"/>
            </w:pPr>
            <w:r w:rsidRPr="006568A3">
              <w:t>Apesar do quadro legal e regulamentar cabo-verdiano garantir a igualdade e não discriminação perante a lei, existem situações pontuais em que pode ser melhorado, e matérias que justificam a introdução de medidas afirmativas, reconhecendo situações em que existe necessidade de superar desigualdades.</w:t>
            </w:r>
          </w:p>
        </w:tc>
        <w:tc>
          <w:tcPr>
            <w:tcW w:w="5984" w:type="dxa"/>
          </w:tcPr>
          <w:p w:rsidR="004F127D" w:rsidRPr="00C90523" w:rsidRDefault="006568A3" w:rsidP="00243978">
            <w:pPr>
              <w:pStyle w:val="PargrafodaLista"/>
              <w:numPr>
                <w:ilvl w:val="0"/>
                <w:numId w:val="26"/>
              </w:numPr>
              <w:spacing w:line="240" w:lineRule="auto"/>
              <w:jc w:val="both"/>
            </w:pPr>
            <w:r w:rsidRPr="006568A3">
              <w:t>Melhorar o quadro legal e regulamentar cabo-verdiano para o pleno cumprimento dos direito humanos das mulheres, tendo em conta os gaps já identificados.</w:t>
            </w:r>
          </w:p>
          <w:p w:rsidR="004F127D" w:rsidRPr="00C90523" w:rsidRDefault="006568A3" w:rsidP="00243978">
            <w:pPr>
              <w:pStyle w:val="PargrafodaLista"/>
              <w:numPr>
                <w:ilvl w:val="0"/>
                <w:numId w:val="26"/>
              </w:numPr>
              <w:spacing w:line="240" w:lineRule="auto"/>
              <w:jc w:val="both"/>
            </w:pPr>
            <w:r w:rsidRPr="006568A3">
              <w:t xml:space="preserve">Reforçar os mecanismos de revisão sistemática do ponto de vista da igualdade de género da legislação em curso de elaboração, aprovação, revisão (mapeamento dos processos em curso ou previstos, reforço das capacidades das comissões especializadas relevantes e da Rede de Mulheres Parlamentares, assistência técnica, apoio a advocacia por parte da sociedade civil ou grupos de interesse). </w:t>
            </w:r>
          </w:p>
        </w:tc>
      </w:tr>
    </w:tbl>
    <w:p w:rsidR="004F127D" w:rsidRPr="00C90523" w:rsidRDefault="004F127D" w:rsidP="004F127D">
      <w:pPr>
        <w:pStyle w:val="Cabealho1"/>
        <w:spacing w:before="0"/>
        <w:rPr>
          <w:rFonts w:asciiTheme="minorHAnsi" w:hAnsiTheme="minorHAnsi" w:cs="Arial"/>
          <w:color w:val="FF0000"/>
          <w:sz w:val="22"/>
          <w:szCs w:val="22"/>
        </w:rPr>
      </w:pPr>
    </w:p>
    <w:p w:rsidR="004F127D" w:rsidRPr="00C90523" w:rsidRDefault="004F127D" w:rsidP="004F127D">
      <w:pPr>
        <w:autoSpaceDE w:val="0"/>
        <w:autoSpaceDN w:val="0"/>
        <w:adjustRightInd w:val="0"/>
        <w:spacing w:after="0"/>
        <w:jc w:val="both"/>
        <w:rPr>
          <w:rFonts w:cs="Sabon-Roman"/>
          <w:highlight w:val="yellow"/>
        </w:rPr>
      </w:pPr>
    </w:p>
    <w:p w:rsidR="004F127D" w:rsidRPr="00C90523" w:rsidRDefault="004F127D" w:rsidP="004F127D">
      <w:pPr>
        <w:sectPr w:rsidR="004F127D" w:rsidRPr="00C90523" w:rsidSect="004F127D">
          <w:pgSz w:w="11906" w:h="17338"/>
          <w:pgMar w:top="1417" w:right="1701" w:bottom="1417" w:left="1701" w:header="720" w:footer="720" w:gutter="0"/>
          <w:cols w:space="720"/>
          <w:noEndnote/>
          <w:titlePg/>
          <w:docGrid w:linePitch="299"/>
        </w:sectPr>
      </w:pPr>
    </w:p>
    <w:p w:rsidR="00690804" w:rsidRPr="00C90523" w:rsidRDefault="00690804" w:rsidP="00690804"/>
    <w:p w:rsidR="00690804" w:rsidRPr="00C90523" w:rsidRDefault="00690804" w:rsidP="00690804"/>
    <w:p w:rsidR="00690804" w:rsidRPr="00C90523" w:rsidRDefault="00690804" w:rsidP="00690804"/>
    <w:p w:rsidR="00690804" w:rsidRPr="00C90523" w:rsidRDefault="00690804" w:rsidP="00690804"/>
    <w:p w:rsidR="00690804" w:rsidRPr="00C90523" w:rsidRDefault="00690804" w:rsidP="00690804"/>
    <w:p w:rsidR="00690804" w:rsidRPr="00C90523" w:rsidRDefault="00690804" w:rsidP="00690804"/>
    <w:p w:rsidR="00690804" w:rsidRPr="00C90523" w:rsidRDefault="00690804" w:rsidP="00690804"/>
    <w:p w:rsidR="00690804" w:rsidRPr="00C90523" w:rsidRDefault="006568A3" w:rsidP="00593A23">
      <w:pPr>
        <w:pStyle w:val="Cabealho1"/>
        <w:jc w:val="center"/>
        <w:rPr>
          <w:sz w:val="52"/>
          <w:szCs w:val="52"/>
        </w:rPr>
      </w:pPr>
      <w:bookmarkStart w:id="77" w:name="_Toc406667296"/>
      <w:r w:rsidRPr="006568A3">
        <w:rPr>
          <w:sz w:val="52"/>
          <w:szCs w:val="52"/>
        </w:rPr>
        <w:t>PARTE III: PLANO NACIONAL DE IGUALDADE DE GÉNERO, PNIG 2015-2018</w:t>
      </w:r>
      <w:bookmarkEnd w:id="77"/>
    </w:p>
    <w:p w:rsidR="00593A23" w:rsidRPr="00C90523" w:rsidRDefault="006568A3" w:rsidP="00593A23">
      <w:pPr>
        <w:jc w:val="center"/>
        <w:rPr>
          <w:color w:val="002060"/>
        </w:rPr>
      </w:pPr>
      <w:r w:rsidRPr="006568A3">
        <w:rPr>
          <w:color w:val="002060"/>
        </w:rPr>
        <w:t>______________________________________________________________________</w:t>
      </w:r>
    </w:p>
    <w:p w:rsidR="00690804" w:rsidRPr="00C90523" w:rsidRDefault="006568A3" w:rsidP="00690804">
      <w:pPr>
        <w:rPr>
          <w:rFonts w:asciiTheme="majorHAnsi" w:eastAsiaTheme="majorEastAsia" w:hAnsiTheme="majorHAnsi" w:cstheme="majorBidi"/>
          <w:b/>
          <w:bCs/>
          <w:color w:val="365F91" w:themeColor="accent1" w:themeShade="BF"/>
          <w:sz w:val="28"/>
          <w:szCs w:val="28"/>
        </w:rPr>
      </w:pPr>
      <w:r w:rsidRPr="006568A3">
        <w:br w:type="page"/>
      </w:r>
    </w:p>
    <w:p w:rsidR="00724379" w:rsidRPr="00C90523" w:rsidRDefault="006568A3" w:rsidP="00601B77">
      <w:pPr>
        <w:pStyle w:val="Cabealho1"/>
      </w:pPr>
      <w:bookmarkStart w:id="78" w:name="_Toc406667297"/>
      <w:r w:rsidRPr="006568A3">
        <w:t>1. VISÃO, OBJECTIVOS E PRINCÍPIOS DE ATUAÇÃO</w:t>
      </w:r>
      <w:bookmarkEnd w:id="78"/>
      <w:r w:rsidRPr="006568A3">
        <w:t xml:space="preserve"> </w:t>
      </w:r>
    </w:p>
    <w:p w:rsidR="00601B77" w:rsidRPr="00C90523" w:rsidRDefault="00601B77" w:rsidP="00724379">
      <w:pPr>
        <w:jc w:val="both"/>
      </w:pPr>
    </w:p>
    <w:p w:rsidR="00724379" w:rsidRPr="00C90523" w:rsidRDefault="006568A3" w:rsidP="00724379">
      <w:pPr>
        <w:jc w:val="both"/>
        <w:rPr>
          <w:i/>
          <w:iCs/>
        </w:rPr>
      </w:pPr>
      <w:r w:rsidRPr="006568A3">
        <w:t xml:space="preserve">Alinhada com a visão do plano do governo, a </w:t>
      </w:r>
      <w:r w:rsidRPr="006568A3">
        <w:rPr>
          <w:b/>
        </w:rPr>
        <w:t>visão</w:t>
      </w:r>
      <w:r w:rsidRPr="006568A3">
        <w:t xml:space="preserve"> do PNIG e </w:t>
      </w:r>
      <w:r w:rsidR="00724379" w:rsidRPr="00C90523">
        <w:rPr>
          <w:i/>
        </w:rPr>
        <w:t>uma nação inclusiva, justa e próspera, com igualdade de di</w:t>
      </w:r>
      <w:r w:rsidR="00724379" w:rsidRPr="00861276">
        <w:rPr>
          <w:i/>
        </w:rPr>
        <w:t xml:space="preserve">reitos, deveres e oportunidades para mulheres e homens. </w:t>
      </w:r>
      <w:r w:rsidRPr="006568A3">
        <w:t xml:space="preserve">Esta visão se materializa em seu </w:t>
      </w:r>
      <w:r w:rsidRPr="006568A3">
        <w:rPr>
          <w:b/>
        </w:rPr>
        <w:t>objetivo geral</w:t>
      </w:r>
      <w:r w:rsidRPr="006568A3">
        <w:rPr>
          <w:i/>
          <w:iCs/>
        </w:rPr>
        <w:t xml:space="preserve"> </w:t>
      </w:r>
      <w:r w:rsidRPr="006568A3">
        <w:rPr>
          <w:iCs/>
        </w:rPr>
        <w:t>sendo o mesmo</w:t>
      </w:r>
      <w:r w:rsidRPr="006568A3">
        <w:rPr>
          <w:i/>
          <w:iCs/>
        </w:rPr>
        <w:t xml:space="preserve"> contribuir de forma integral à promoção da igualdade de direitos, deveres e oportunidades para homens e mulheres e ao empoderamento das mulheres. </w:t>
      </w:r>
    </w:p>
    <w:p w:rsidR="00724379" w:rsidRPr="00C90523" w:rsidRDefault="006568A3" w:rsidP="00724379">
      <w:pPr>
        <w:jc w:val="both"/>
        <w:rPr>
          <w:lang w:eastAsia="fr-CH"/>
        </w:rPr>
      </w:pPr>
      <w:r w:rsidRPr="006568A3">
        <w:rPr>
          <w:lang w:eastAsia="fr-CH"/>
        </w:rPr>
        <w:t>Tomando em conta os principais problemas e desafios identificados a partir das contribuições dos actores nacionais envolvidos no processo de formulação, foram traçados oito objectivos específicos que se relacionam com cada um dos eixos estratégicos priorizados, como se mostra na seguinte tabela:</w:t>
      </w:r>
    </w:p>
    <w:tbl>
      <w:tblPr>
        <w:tblStyle w:val="Sombreadomedio2-nfasis11"/>
        <w:tblW w:w="0" w:type="auto"/>
        <w:tblLook w:val="04A0" w:firstRow="1" w:lastRow="0" w:firstColumn="1" w:lastColumn="0" w:noHBand="0" w:noVBand="1"/>
      </w:tblPr>
      <w:tblGrid>
        <w:gridCol w:w="2518"/>
        <w:gridCol w:w="6095"/>
      </w:tblGrid>
      <w:tr w:rsidR="00724379" w:rsidRPr="00C90523" w:rsidTr="00E910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Pr>
          <w:p w:rsidR="00724379" w:rsidRPr="00C90523" w:rsidRDefault="006568A3" w:rsidP="009F76A1">
            <w:pPr>
              <w:spacing w:line="276" w:lineRule="auto"/>
              <w:jc w:val="both"/>
              <w:rPr>
                <w:rFonts w:cstheme="minorHAnsi"/>
                <w:b w:val="0"/>
                <w:lang w:val="pt-PT"/>
              </w:rPr>
            </w:pPr>
            <w:r w:rsidRPr="006568A3">
              <w:rPr>
                <w:rFonts w:cstheme="minorHAnsi"/>
                <w:lang w:val="pt-PT"/>
              </w:rPr>
              <w:t>EIXO ESTRATÉGICO</w:t>
            </w:r>
          </w:p>
        </w:tc>
        <w:tc>
          <w:tcPr>
            <w:tcW w:w="6095" w:type="dxa"/>
          </w:tcPr>
          <w:p w:rsidR="00724379" w:rsidRPr="00C90523" w:rsidRDefault="006568A3" w:rsidP="009F76A1">
            <w:pPr>
              <w:spacing w:line="276" w:lineRule="auto"/>
              <w:cnfStyle w:val="100000000000" w:firstRow="1" w:lastRow="0" w:firstColumn="0" w:lastColumn="0" w:oddVBand="0" w:evenVBand="0" w:oddHBand="0" w:evenHBand="0" w:firstRowFirstColumn="0" w:firstRowLastColumn="0" w:lastRowFirstColumn="0" w:lastRowLastColumn="0"/>
              <w:rPr>
                <w:b w:val="0"/>
                <w:lang w:val="pt-PT"/>
              </w:rPr>
            </w:pPr>
            <w:r w:rsidRPr="006568A3">
              <w:rPr>
                <w:lang w:val="pt-PT"/>
              </w:rPr>
              <w:t>OBJECTIVO ESTRATÉGICO</w:t>
            </w:r>
          </w:p>
        </w:tc>
      </w:tr>
      <w:tr w:rsidR="00724379" w:rsidRPr="00C90523" w:rsidTr="00E9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 xml:space="preserve">Saúde </w:t>
            </w:r>
          </w:p>
        </w:tc>
        <w:tc>
          <w:tcPr>
            <w:tcW w:w="6095" w:type="dxa"/>
          </w:tcPr>
          <w:p w:rsidR="00724379" w:rsidRPr="00C90523" w:rsidRDefault="006568A3" w:rsidP="009F76A1">
            <w:pPr>
              <w:jc w:val="both"/>
              <w:cnfStyle w:val="000000100000" w:firstRow="0" w:lastRow="0" w:firstColumn="0" w:lastColumn="0" w:oddVBand="0" w:evenVBand="0" w:oddHBand="1" w:evenHBand="0" w:firstRowFirstColumn="0" w:firstRowLastColumn="0" w:lastRowFirstColumn="0" w:lastRowLastColumn="0"/>
              <w:rPr>
                <w:rFonts w:cstheme="minorHAnsi"/>
                <w:lang w:val="pt-PT"/>
              </w:rPr>
            </w:pPr>
            <w:r w:rsidRPr="006568A3">
              <w:rPr>
                <w:lang w:val="pt-PT"/>
              </w:rPr>
              <w:t>Promover o aumento de uma procura equilibrada dos serviços de saúde com uma oferta de qualidade e atendimento diferenciado e que respeite a dignidade humana</w:t>
            </w:r>
            <w:r w:rsidR="009F76A1">
              <w:rPr>
                <w:lang w:val="pt-PT"/>
              </w:rPr>
              <w:t>.</w:t>
            </w:r>
          </w:p>
        </w:tc>
      </w:tr>
      <w:tr w:rsidR="00724379" w:rsidRPr="00C90523" w:rsidTr="00E9106E">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Direitos Sexuais e Reprodutivos</w:t>
            </w:r>
          </w:p>
        </w:tc>
        <w:tc>
          <w:tcPr>
            <w:tcW w:w="6095" w:type="dxa"/>
          </w:tcPr>
          <w:p w:rsidR="00724379" w:rsidRPr="00C90523" w:rsidRDefault="006568A3" w:rsidP="009F76A1">
            <w:pPr>
              <w:jc w:val="both"/>
              <w:cnfStyle w:val="000000000000" w:firstRow="0" w:lastRow="0" w:firstColumn="0" w:lastColumn="0" w:oddVBand="0" w:evenVBand="0" w:oddHBand="0" w:evenHBand="0" w:firstRowFirstColumn="0" w:firstRowLastColumn="0" w:lastRowFirstColumn="0" w:lastRowLastColumn="0"/>
              <w:rPr>
                <w:lang w:val="pt-PT"/>
              </w:rPr>
            </w:pPr>
            <w:r w:rsidRPr="006568A3">
              <w:rPr>
                <w:lang w:val="pt-PT"/>
              </w:rPr>
              <w:t>Promover as condições para que as pessoas (homens, mulheres, adolescentes e jovens) realizem mais plenamente seus direitos sexuais e reprodutivos e tenham maior acesso aos serviços de SSR de qualidade e que respeitam a especificidade de cada pessoa</w:t>
            </w:r>
            <w:r w:rsidR="009F76A1">
              <w:rPr>
                <w:lang w:val="pt-PT"/>
              </w:rPr>
              <w:t>.</w:t>
            </w:r>
          </w:p>
        </w:tc>
      </w:tr>
      <w:tr w:rsidR="00724379" w:rsidRPr="00C90523" w:rsidTr="00E9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Violência Baseada no Género</w:t>
            </w:r>
          </w:p>
        </w:tc>
        <w:tc>
          <w:tcPr>
            <w:tcW w:w="6095" w:type="dxa"/>
          </w:tcPr>
          <w:p w:rsidR="00724379" w:rsidRPr="00C90523" w:rsidRDefault="006568A3" w:rsidP="009F76A1">
            <w:pPr>
              <w:jc w:val="both"/>
              <w:cnfStyle w:val="000000100000" w:firstRow="0" w:lastRow="0" w:firstColumn="0" w:lastColumn="0" w:oddVBand="0" w:evenVBand="0" w:oddHBand="1" w:evenHBand="0" w:firstRowFirstColumn="0" w:firstRowLastColumn="0" w:lastRowFirstColumn="0" w:lastRowLastColumn="0"/>
              <w:rPr>
                <w:lang w:val="pt-PT" w:eastAsia="fr-CH"/>
              </w:rPr>
            </w:pPr>
            <w:r w:rsidRPr="006568A3">
              <w:rPr>
                <w:lang w:val="pt-PT" w:eastAsia="fr-CH"/>
              </w:rPr>
              <w:t>Contribuir para a erradicação da violência baseada no género e a efectivação do princípio da igualdade de género.</w:t>
            </w:r>
            <w:r w:rsidRPr="006568A3">
              <w:rPr>
                <w:rStyle w:val="Refdenotaderodap"/>
                <w:lang w:val="pt-PT" w:eastAsia="fr-CH"/>
              </w:rPr>
              <w:footnoteReference w:id="58"/>
            </w:r>
            <w:r w:rsidRPr="006568A3">
              <w:rPr>
                <w:lang w:val="pt-PT" w:eastAsia="fr-CH"/>
              </w:rPr>
              <w:t xml:space="preserve"> </w:t>
            </w:r>
          </w:p>
        </w:tc>
      </w:tr>
      <w:tr w:rsidR="00724379" w:rsidRPr="00C90523" w:rsidTr="00E9106E">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Educação e formação profissional</w:t>
            </w:r>
          </w:p>
        </w:tc>
        <w:tc>
          <w:tcPr>
            <w:tcW w:w="6095" w:type="dxa"/>
          </w:tcPr>
          <w:p w:rsidR="00724379" w:rsidRPr="00C90523" w:rsidRDefault="006568A3" w:rsidP="009F76A1">
            <w:pPr>
              <w:jc w:val="both"/>
              <w:cnfStyle w:val="000000000000" w:firstRow="0" w:lastRow="0" w:firstColumn="0" w:lastColumn="0" w:oddVBand="0" w:evenVBand="0" w:oddHBand="0" w:evenHBand="0" w:firstRowFirstColumn="0" w:firstRowLastColumn="0" w:lastRowFirstColumn="0" w:lastRowLastColumn="0"/>
              <w:rPr>
                <w:lang w:val="pt-PT"/>
              </w:rPr>
            </w:pPr>
            <w:r w:rsidRPr="006568A3">
              <w:rPr>
                <w:lang w:val="pt-PT"/>
              </w:rPr>
              <w:t>Promover a permanência e sucesso de rapazes e raparigas nos vários níveis de ensino e o acesso a uma educação de qualidade promotora da igualdade de género</w:t>
            </w:r>
            <w:r w:rsidR="009F76A1">
              <w:rPr>
                <w:lang w:val="pt-PT"/>
              </w:rPr>
              <w:t>.</w:t>
            </w:r>
            <w:r w:rsidRPr="006568A3">
              <w:rPr>
                <w:lang w:val="pt-PT"/>
              </w:rPr>
              <w:t xml:space="preserve">  </w:t>
            </w:r>
          </w:p>
        </w:tc>
      </w:tr>
      <w:tr w:rsidR="00724379" w:rsidRPr="00C90523" w:rsidTr="00E9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Economia produtiva</w:t>
            </w:r>
          </w:p>
        </w:tc>
        <w:tc>
          <w:tcPr>
            <w:tcW w:w="6095" w:type="dxa"/>
          </w:tcPr>
          <w:p w:rsidR="00724379" w:rsidRPr="00C90523" w:rsidRDefault="006568A3" w:rsidP="009F76A1">
            <w:pPr>
              <w:jc w:val="both"/>
              <w:cnfStyle w:val="000000100000" w:firstRow="0" w:lastRow="0" w:firstColumn="0" w:lastColumn="0" w:oddVBand="0" w:evenVBand="0" w:oddHBand="1" w:evenHBand="0" w:firstRowFirstColumn="0" w:firstRowLastColumn="0" w:lastRowFirstColumn="0" w:lastRowLastColumn="0"/>
              <w:rPr>
                <w:bCs/>
                <w:lang w:val="pt-PT"/>
              </w:rPr>
            </w:pPr>
            <w:r w:rsidRPr="006568A3">
              <w:rPr>
                <w:lang w:val="pt-PT"/>
              </w:rPr>
              <w:t>Promover a igualdade no mundo do trabalho e a autonomia económica das mulheres, em particular as mais pobres</w:t>
            </w:r>
          </w:p>
        </w:tc>
      </w:tr>
      <w:tr w:rsidR="00724379" w:rsidRPr="00C90523" w:rsidTr="00E9106E">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 xml:space="preserve">Economia reprodutiva </w:t>
            </w:r>
          </w:p>
        </w:tc>
        <w:tc>
          <w:tcPr>
            <w:tcW w:w="6095" w:type="dxa"/>
          </w:tcPr>
          <w:p w:rsidR="00724379" w:rsidRPr="00C90523" w:rsidRDefault="006568A3" w:rsidP="009F76A1">
            <w:pPr>
              <w:jc w:val="both"/>
              <w:cnfStyle w:val="000000000000" w:firstRow="0" w:lastRow="0" w:firstColumn="0" w:lastColumn="0" w:oddVBand="0" w:evenVBand="0" w:oddHBand="0" w:evenHBand="0" w:firstRowFirstColumn="0" w:firstRowLastColumn="0" w:lastRowFirstColumn="0" w:lastRowLastColumn="0"/>
              <w:rPr>
                <w:lang w:val="pt-PT"/>
              </w:rPr>
            </w:pPr>
            <w:r w:rsidRPr="006568A3">
              <w:rPr>
                <w:lang w:val="pt-PT"/>
              </w:rPr>
              <w:t>Criar condições para dar maior visibilidade à economia reprodutiva e promover a maior co-responsabilidade na sua efectivação</w:t>
            </w:r>
            <w:r w:rsidR="009F76A1">
              <w:rPr>
                <w:lang w:val="pt-PT"/>
              </w:rPr>
              <w:t>.</w:t>
            </w:r>
          </w:p>
        </w:tc>
      </w:tr>
      <w:tr w:rsidR="00724379" w:rsidRPr="00C90523" w:rsidTr="00E9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Participação política e nas esferas de tomada de decisão e comunicação</w:t>
            </w:r>
          </w:p>
          <w:p w:rsidR="00593A23" w:rsidRPr="00C90523" w:rsidRDefault="00593A23" w:rsidP="009F76A1">
            <w:pPr>
              <w:pStyle w:val="PargrafodaLista"/>
              <w:ind w:left="284"/>
              <w:jc w:val="both"/>
              <w:rPr>
                <w:rFonts w:cstheme="minorHAnsi"/>
                <w:lang w:val="pt-PT"/>
              </w:rPr>
            </w:pPr>
          </w:p>
        </w:tc>
        <w:tc>
          <w:tcPr>
            <w:tcW w:w="6095" w:type="dxa"/>
          </w:tcPr>
          <w:p w:rsidR="00724379" w:rsidRPr="00C90523" w:rsidRDefault="006568A3" w:rsidP="009F76A1">
            <w:pPr>
              <w:jc w:val="both"/>
              <w:cnfStyle w:val="000000100000" w:firstRow="0" w:lastRow="0" w:firstColumn="0" w:lastColumn="0" w:oddVBand="0" w:evenVBand="0" w:oddHBand="1" w:evenHBand="0" w:firstRowFirstColumn="0" w:firstRowLastColumn="0" w:lastRowFirstColumn="0" w:lastRowLastColumn="0"/>
              <w:rPr>
                <w:lang w:val="pt-PT"/>
              </w:rPr>
            </w:pPr>
            <w:r w:rsidRPr="006568A3">
              <w:rPr>
                <w:lang w:val="pt-PT"/>
              </w:rPr>
              <w:t>Progredir em direção à paridade da participação de mulheres e homens em todos os campos de decisão, e em particular até 2016 no parlamento e nos órgãos de poder local.</w:t>
            </w:r>
          </w:p>
          <w:p w:rsidR="00724379" w:rsidRPr="00C90523" w:rsidRDefault="00724379" w:rsidP="009F76A1">
            <w:pPr>
              <w:jc w:val="both"/>
              <w:cnfStyle w:val="000000100000" w:firstRow="0" w:lastRow="0" w:firstColumn="0" w:lastColumn="0" w:oddVBand="0" w:evenVBand="0" w:oddHBand="1" w:evenHBand="0" w:firstRowFirstColumn="0" w:firstRowLastColumn="0" w:lastRowFirstColumn="0" w:lastRowLastColumn="0"/>
              <w:rPr>
                <w:rFonts w:cstheme="minorHAnsi"/>
                <w:lang w:val="pt-PT"/>
              </w:rPr>
            </w:pPr>
          </w:p>
        </w:tc>
      </w:tr>
      <w:tr w:rsidR="00724379" w:rsidRPr="00C90523" w:rsidTr="00E9106E">
        <w:tc>
          <w:tcPr>
            <w:cnfStyle w:val="001000000000" w:firstRow="0" w:lastRow="0" w:firstColumn="1" w:lastColumn="0" w:oddVBand="0" w:evenVBand="0" w:oddHBand="0" w:evenHBand="0" w:firstRowFirstColumn="0" w:firstRowLastColumn="0" w:lastRowFirstColumn="0" w:lastRowLastColumn="0"/>
            <w:tcW w:w="2518" w:type="dxa"/>
          </w:tcPr>
          <w:p w:rsidR="00724379" w:rsidRPr="00C90523" w:rsidRDefault="006568A3" w:rsidP="009F76A1">
            <w:pPr>
              <w:pStyle w:val="PargrafodaLista"/>
              <w:numPr>
                <w:ilvl w:val="0"/>
                <w:numId w:val="9"/>
              </w:numPr>
              <w:ind w:left="284" w:hanging="284"/>
              <w:jc w:val="both"/>
              <w:rPr>
                <w:rFonts w:cstheme="minorHAnsi"/>
                <w:lang w:val="pt-PT"/>
              </w:rPr>
            </w:pPr>
            <w:r w:rsidRPr="006568A3">
              <w:rPr>
                <w:rFonts w:cstheme="minorHAnsi"/>
                <w:lang w:val="pt-PT"/>
              </w:rPr>
              <w:t>Reforço institucional para a integração da abordagem de género nas políticas públicas</w:t>
            </w:r>
          </w:p>
        </w:tc>
        <w:tc>
          <w:tcPr>
            <w:tcW w:w="6095" w:type="dxa"/>
          </w:tcPr>
          <w:p w:rsidR="00724379" w:rsidRPr="00C90523" w:rsidRDefault="006568A3" w:rsidP="009F76A1">
            <w:pPr>
              <w:jc w:val="both"/>
              <w:cnfStyle w:val="000000000000" w:firstRow="0" w:lastRow="0" w:firstColumn="0" w:lastColumn="0" w:oddVBand="0" w:evenVBand="0" w:oddHBand="0" w:evenHBand="0" w:firstRowFirstColumn="0" w:firstRowLastColumn="0" w:lastRowFirstColumn="0" w:lastRowLastColumn="0"/>
              <w:rPr>
                <w:bCs/>
                <w:lang w:val="pt-PT"/>
              </w:rPr>
            </w:pPr>
            <w:r w:rsidRPr="006568A3">
              <w:rPr>
                <w:lang w:val="pt-PT"/>
              </w:rPr>
              <w:t>Contribuir para  uma cultura promotora da igualdade de género nas instituições e uma coordenação efectiva para a institucionalização da abordagem de género a nível sectorial e local</w:t>
            </w:r>
            <w:r w:rsidR="009F76A1">
              <w:rPr>
                <w:lang w:val="pt-PT"/>
              </w:rPr>
              <w:t>.</w:t>
            </w:r>
          </w:p>
        </w:tc>
      </w:tr>
    </w:tbl>
    <w:p w:rsidR="00724379" w:rsidRPr="00C90523" w:rsidRDefault="00724379" w:rsidP="009F76A1">
      <w:pPr>
        <w:spacing w:after="0"/>
      </w:pPr>
    </w:p>
    <w:p w:rsidR="00601B77" w:rsidRPr="00C90523" w:rsidRDefault="006568A3">
      <w:pPr>
        <w:rPr>
          <w:rFonts w:eastAsia="Times New Roman" w:cs="Times New Roman"/>
          <w:bCs/>
          <w:color w:val="FF0000"/>
          <w:sz w:val="24"/>
          <w:szCs w:val="24"/>
          <w:lang w:eastAsia="fr-CH"/>
        </w:rPr>
      </w:pPr>
      <w:r w:rsidRPr="006568A3">
        <w:rPr>
          <w:rFonts w:eastAsia="Times New Roman" w:cs="Times New Roman"/>
          <w:bCs/>
          <w:color w:val="FF0000"/>
          <w:sz w:val="24"/>
          <w:szCs w:val="24"/>
          <w:lang w:eastAsia="fr-CH"/>
        </w:rPr>
        <w:br w:type="page"/>
      </w:r>
    </w:p>
    <w:p w:rsidR="00724379" w:rsidRPr="00C90523" w:rsidRDefault="006568A3" w:rsidP="00601B77">
      <w:pPr>
        <w:tabs>
          <w:tab w:val="left" w:pos="567"/>
        </w:tabs>
        <w:spacing w:after="0"/>
        <w:jc w:val="both"/>
        <w:rPr>
          <w:rFonts w:eastAsia="Times New Roman" w:cs="Times New Roman"/>
          <w:b/>
          <w:bCs/>
          <w:sz w:val="24"/>
          <w:szCs w:val="24"/>
          <w:lang w:eastAsia="fr-CH"/>
        </w:rPr>
      </w:pPr>
      <w:r w:rsidRPr="006568A3">
        <w:rPr>
          <w:rFonts w:eastAsia="Times New Roman" w:cs="Times New Roman"/>
          <w:bCs/>
          <w:sz w:val="24"/>
          <w:szCs w:val="24"/>
          <w:lang w:eastAsia="fr-CH"/>
        </w:rPr>
        <w:t>Sua implementação t</w:t>
      </w:r>
      <w:r w:rsidR="00861276">
        <w:rPr>
          <w:rFonts w:eastAsia="Times New Roman" w:cs="Times New Roman"/>
          <w:bCs/>
          <w:sz w:val="24"/>
          <w:szCs w:val="24"/>
          <w:lang w:eastAsia="fr-CH"/>
        </w:rPr>
        <w:t>e</w:t>
      </w:r>
      <w:r w:rsidRPr="006568A3">
        <w:rPr>
          <w:rFonts w:eastAsia="Times New Roman" w:cs="Times New Roman"/>
          <w:bCs/>
          <w:sz w:val="24"/>
          <w:szCs w:val="24"/>
          <w:lang w:eastAsia="fr-CH"/>
        </w:rPr>
        <w:t xml:space="preserve">m como base os seguintes </w:t>
      </w:r>
      <w:r w:rsidRPr="006568A3">
        <w:rPr>
          <w:rFonts w:eastAsia="Times New Roman" w:cs="Times New Roman"/>
          <w:b/>
          <w:bCs/>
          <w:sz w:val="24"/>
          <w:szCs w:val="24"/>
          <w:lang w:eastAsia="fr-CH"/>
        </w:rPr>
        <w:t>princípios orientadores:</w:t>
      </w:r>
    </w:p>
    <w:p w:rsidR="00724379" w:rsidRPr="00C90523" w:rsidRDefault="00724379" w:rsidP="00601B77">
      <w:pPr>
        <w:spacing w:after="0"/>
        <w:ind w:firstLine="284"/>
        <w:rPr>
          <w:sz w:val="18"/>
          <w:szCs w:val="18"/>
        </w:rPr>
      </w:pPr>
    </w:p>
    <w:p w:rsidR="00724379" w:rsidRPr="00C90523" w:rsidRDefault="006568A3" w:rsidP="00243978">
      <w:pPr>
        <w:pStyle w:val="PargrafodaLista"/>
        <w:numPr>
          <w:ilvl w:val="0"/>
          <w:numId w:val="12"/>
        </w:numPr>
        <w:spacing w:after="0"/>
        <w:ind w:left="284" w:right="44" w:hanging="284"/>
        <w:contextualSpacing w:val="0"/>
        <w:jc w:val="both"/>
        <w:rPr>
          <w:rFonts w:cs="Arial"/>
        </w:rPr>
      </w:pPr>
      <w:r w:rsidRPr="006568A3">
        <w:rPr>
          <w:b/>
          <w:bCs/>
          <w:i/>
        </w:rPr>
        <w:t>Igualdade e equidade entre mulheres e homens, em todos os âmbitos:</w:t>
      </w:r>
      <w:r w:rsidRPr="006568A3">
        <w:rPr>
          <w:b/>
          <w:bCs/>
        </w:rPr>
        <w:t xml:space="preserve"> </w:t>
      </w:r>
      <w:r w:rsidRPr="006568A3">
        <w:rPr>
          <w:rFonts w:cs="TimesNewRomanPS-ItalicMT"/>
          <w:bCs/>
          <w:iCs/>
        </w:rPr>
        <w:t>O princ</w:t>
      </w:r>
      <w:r w:rsidR="00861276">
        <w:rPr>
          <w:rFonts w:cs="TimesNewRomanPS-ItalicMT"/>
          <w:bCs/>
          <w:iCs/>
        </w:rPr>
        <w:t>í</w:t>
      </w:r>
      <w:r w:rsidRPr="006568A3">
        <w:rPr>
          <w:rFonts w:cs="TimesNewRomanPS-ItalicMT"/>
          <w:bCs/>
          <w:iCs/>
        </w:rPr>
        <w:t xml:space="preserve">pio de </w:t>
      </w:r>
      <w:r w:rsidRPr="006568A3">
        <w:rPr>
          <w:rFonts w:cs="TimesNewRomanPS-ItalicMT"/>
          <w:b/>
          <w:bCs/>
          <w:iCs/>
        </w:rPr>
        <w:t xml:space="preserve">igualdade </w:t>
      </w:r>
      <w:r w:rsidRPr="006568A3">
        <w:rPr>
          <w:rFonts w:cs="TimesNewRomanPS-ItalicMT"/>
          <w:bCs/>
          <w:iCs/>
        </w:rPr>
        <w:t xml:space="preserve">implica o reconhecimento social e jurídico </w:t>
      </w:r>
      <w:r w:rsidRPr="006568A3">
        <w:rPr>
          <w:rFonts w:cs="Arial"/>
          <w:bCs/>
        </w:rPr>
        <w:t>de mulheres e ho</w:t>
      </w:r>
      <w:r w:rsidRPr="006568A3">
        <w:rPr>
          <w:rFonts w:cs="Arial"/>
        </w:rPr>
        <w:t xml:space="preserve">mens a exercer seus direitos e gozar das mesmas oportunidades em todos os domínios da vida política, social, económica e cultural. Ao mesmo tempo mulheres e homens </w:t>
      </w:r>
      <w:r w:rsidRPr="006568A3">
        <w:t xml:space="preserve">partem de realidades diversas que condicionam seu acesso a esses direitos e oportunidades, colocando-os/as às vezes, em situação de </w:t>
      </w:r>
      <w:r w:rsidRPr="006568A3">
        <w:rPr>
          <w:rFonts w:cs="TimesNewRomanPS-ItalicMT"/>
          <w:iCs/>
        </w:rPr>
        <w:t xml:space="preserve">desvantagem. Em consequência o plano assume a necessidade de aplicar o principio de </w:t>
      </w:r>
      <w:r w:rsidRPr="006568A3">
        <w:rPr>
          <w:rFonts w:cs="TimesNewRomanPS-ItalicMT"/>
          <w:b/>
          <w:iCs/>
        </w:rPr>
        <w:t xml:space="preserve">equidade </w:t>
      </w:r>
      <w:r w:rsidRPr="006568A3">
        <w:rPr>
          <w:rFonts w:cs="TimesNewRomanPS-ItalicMT"/>
          <w:iCs/>
        </w:rPr>
        <w:t xml:space="preserve">dando </w:t>
      </w:r>
      <w:r w:rsidRPr="006568A3">
        <w:rPr>
          <w:rFonts w:cs="TrebuchetMS"/>
        </w:rPr>
        <w:t>um tratamento diferenciado para as pessoas mais desfavorecidas prev</w:t>
      </w:r>
      <w:r w:rsidR="00861276">
        <w:rPr>
          <w:rFonts w:cs="TrebuchetMS"/>
        </w:rPr>
        <w:t>e</w:t>
      </w:r>
      <w:r w:rsidRPr="006568A3">
        <w:rPr>
          <w:rFonts w:cs="TrebuchetMS"/>
        </w:rPr>
        <w:t>ndo a aplicação de medidas deliberadas para corrigir as desvantagens e eliminar as desigualdades resultantes de diferenças. Por tanto</w:t>
      </w:r>
      <w:r w:rsidRPr="006568A3">
        <w:rPr>
          <w:rFonts w:cs="TimesNewRomanPS-ItalicMT"/>
          <w:iCs/>
        </w:rPr>
        <w:t xml:space="preserve"> Igualdade e Equidade são dois princípios que andam de mãos dadas. Ambos se aplicam, porque eles são interdependentes: nenhum é suficiente sem o outro</w:t>
      </w:r>
    </w:p>
    <w:p w:rsidR="00724379" w:rsidRPr="00C90523" w:rsidRDefault="00724379" w:rsidP="00601B77">
      <w:pPr>
        <w:pStyle w:val="PargrafodaLista"/>
        <w:spacing w:after="0"/>
        <w:ind w:left="284"/>
        <w:rPr>
          <w:b/>
          <w:bCs/>
        </w:rPr>
      </w:pPr>
    </w:p>
    <w:p w:rsidR="00724379" w:rsidRPr="00C90523" w:rsidRDefault="006568A3" w:rsidP="00243978">
      <w:pPr>
        <w:pStyle w:val="PargrafodaLista"/>
        <w:numPr>
          <w:ilvl w:val="0"/>
          <w:numId w:val="11"/>
        </w:numPr>
        <w:suppressAutoHyphens/>
        <w:spacing w:after="0"/>
        <w:ind w:left="284" w:hanging="284"/>
        <w:contextualSpacing w:val="0"/>
        <w:jc w:val="both"/>
        <w:rPr>
          <w:rFonts w:cs="TimesNewRomanPSMT"/>
        </w:rPr>
      </w:pPr>
      <w:r w:rsidRPr="006568A3">
        <w:rPr>
          <w:b/>
          <w:bCs/>
          <w:i/>
        </w:rPr>
        <w:t>Respeito à diversidade e combate a todas as formas de discriminação</w:t>
      </w:r>
      <w:r w:rsidRPr="006568A3">
        <w:rPr>
          <w:b/>
          <w:bCs/>
        </w:rPr>
        <w:t xml:space="preserve">: </w:t>
      </w:r>
      <w:r w:rsidRPr="006568A3">
        <w:rPr>
          <w:rFonts w:cs="Arial"/>
        </w:rPr>
        <w:t xml:space="preserve">O reconhecimento dos direitos, oportunidades e benefícios de mulheres e homens é independente da sua cor, raça, origem étnica ou geográfica, religião, grau de instrução, posição socioeconómica, formação académica, filiação partidária e convicção. O plano contribuirá para a eliminação de preconceitos e práticas baseadas no sexo e outros fatores de discriminação </w:t>
      </w:r>
      <w:r w:rsidRPr="006568A3">
        <w:rPr>
          <w:rFonts w:cs="TimesNewRomanPSMT"/>
        </w:rPr>
        <w:t>que tenha por objeto ou resultado prejudicar ou anular o reconhecimento, gozo ou exercício dos direitos e oportunidades de mulheres e homens.</w:t>
      </w:r>
    </w:p>
    <w:p w:rsidR="00724379" w:rsidRPr="00C90523" w:rsidRDefault="00724379" w:rsidP="00601B77">
      <w:pPr>
        <w:spacing w:after="0"/>
        <w:ind w:right="44"/>
        <w:jc w:val="both"/>
        <w:rPr>
          <w:rFonts w:cs="Arial"/>
        </w:rPr>
      </w:pPr>
    </w:p>
    <w:p w:rsidR="00724379" w:rsidRPr="00C90523" w:rsidRDefault="006568A3" w:rsidP="00243978">
      <w:pPr>
        <w:pStyle w:val="PargrafodaLista"/>
        <w:numPr>
          <w:ilvl w:val="0"/>
          <w:numId w:val="11"/>
        </w:numPr>
        <w:shd w:val="clear" w:color="auto" w:fill="FFFFFF"/>
        <w:suppressAutoHyphens/>
        <w:spacing w:after="0"/>
        <w:ind w:left="284" w:hanging="284"/>
        <w:contextualSpacing w:val="0"/>
        <w:jc w:val="both"/>
      </w:pPr>
      <w:r w:rsidRPr="006568A3">
        <w:rPr>
          <w:b/>
          <w:bCs/>
          <w:i/>
        </w:rPr>
        <w:t xml:space="preserve">Busca da autonomia das mulheres em todas as dimensões da vida: </w:t>
      </w:r>
      <w:r w:rsidRPr="006568A3">
        <w:t>No contexto actual de desenvolvimento económico, tecnológico e social é possível aspirar a uma maior autonomia das mulheres. As condições materiais e a falta de autonomia de um número considerável de mulheres é consequência, entre outros fatores, da má distribuição do poder, dos rendimentos e do tempo global de trabalho entre homens e mulheres. Apesar da autonomia das mulheres se construir seguindo múltiplos caminhos, todos eles devem modificar as fronteiras entre vida pública e privada. Por isso o plano est</w:t>
      </w:r>
      <w:r w:rsidR="00861276">
        <w:t>á</w:t>
      </w:r>
      <w:r w:rsidRPr="006568A3">
        <w:t xml:space="preserve"> orientado a promover uma mudança efetiva na vida das mulheres, fortalecendo integralmente o exercício dos seus direitos dentro e fora do lar, buscando acrescentar suas capacidades para tomar decisões livres informadas sobre suas vidas para que possam ser e fazer em função das suas próprias aspirações e desejos, num contexto que torne isso possível. </w:t>
      </w:r>
    </w:p>
    <w:p w:rsidR="00724379" w:rsidRPr="00C90523" w:rsidRDefault="00724379" w:rsidP="00601B77">
      <w:pPr>
        <w:spacing w:after="0"/>
        <w:ind w:right="44"/>
        <w:jc w:val="both"/>
        <w:rPr>
          <w:rFonts w:cs="Arial"/>
        </w:rPr>
      </w:pPr>
    </w:p>
    <w:p w:rsidR="00724379" w:rsidRPr="00C90523" w:rsidRDefault="006568A3" w:rsidP="00243978">
      <w:pPr>
        <w:pStyle w:val="PargrafodaLista"/>
        <w:numPr>
          <w:ilvl w:val="0"/>
          <w:numId w:val="11"/>
        </w:numPr>
        <w:suppressAutoHyphens/>
        <w:autoSpaceDE w:val="0"/>
        <w:autoSpaceDN w:val="0"/>
        <w:adjustRightInd w:val="0"/>
        <w:spacing w:after="0"/>
        <w:ind w:left="284" w:hanging="284"/>
        <w:contextualSpacing w:val="0"/>
        <w:jc w:val="both"/>
        <w:rPr>
          <w:rFonts w:cs="TrebuchetMS"/>
        </w:rPr>
      </w:pPr>
      <w:r w:rsidRPr="006568A3">
        <w:rPr>
          <w:b/>
          <w:bCs/>
          <w:i/>
        </w:rPr>
        <w:t>Transversalidade, Integração e articulação</w:t>
      </w:r>
      <w:r w:rsidRPr="006568A3">
        <w:rPr>
          <w:b/>
          <w:bCs/>
        </w:rPr>
        <w:t xml:space="preserve">: </w:t>
      </w:r>
      <w:r w:rsidRPr="006568A3">
        <w:rPr>
          <w:rFonts w:cs="TrebuchetMS"/>
        </w:rPr>
        <w:t>Devido à sua dimensão e abrangência, a implementação do plano precisa do envolvimento de todas as instituições do Estado, do Sector Privado e da Sociedade Civil. O plano busca contribuir a que todos os actores façam parte da construção da igualdade de género, aplicando o princ</w:t>
      </w:r>
      <w:r w:rsidR="00861276">
        <w:rPr>
          <w:rFonts w:cs="TrebuchetMS"/>
        </w:rPr>
        <w:t>í</w:t>
      </w:r>
      <w:r w:rsidRPr="006568A3">
        <w:rPr>
          <w:rFonts w:cs="TrebuchetMS"/>
        </w:rPr>
        <w:t xml:space="preserve">pio da </w:t>
      </w:r>
      <w:r w:rsidRPr="006568A3">
        <w:rPr>
          <w:rFonts w:cs="TrebuchetMS"/>
          <w:b/>
        </w:rPr>
        <w:t>transversalidade</w:t>
      </w:r>
      <w:r w:rsidRPr="006568A3">
        <w:rPr>
          <w:rFonts w:cs="TrebuchetMS"/>
        </w:rPr>
        <w:t>, considerando os efeitos que as suas distintas intervenções têm nas mulheres e nos homens de maneira diferenciada e desenvolvendo uma política ativa e visível de integração da perspectiva de género em todas as políticas e programas.</w:t>
      </w:r>
      <w:r w:rsidRPr="006568A3">
        <w:rPr>
          <w:iCs/>
        </w:rPr>
        <w:t xml:space="preserve"> O organismo coordenador das políticas para a igualdade e equidade actua como impulsionador e apoa</w:t>
      </w:r>
      <w:r w:rsidR="00861276">
        <w:rPr>
          <w:iCs/>
        </w:rPr>
        <w:t>nte</w:t>
      </w:r>
      <w:r w:rsidRPr="006568A3">
        <w:rPr>
          <w:iCs/>
        </w:rPr>
        <w:t xml:space="preserve"> </w:t>
      </w:r>
      <w:r w:rsidR="00861276">
        <w:rPr>
          <w:iCs/>
        </w:rPr>
        <w:t>para</w:t>
      </w:r>
      <w:r w:rsidRPr="006568A3">
        <w:rPr>
          <w:iCs/>
        </w:rPr>
        <w:t xml:space="preserve"> que todos os serviços assum</w:t>
      </w:r>
      <w:r w:rsidR="00861276">
        <w:rPr>
          <w:iCs/>
        </w:rPr>
        <w:t>a</w:t>
      </w:r>
      <w:r w:rsidRPr="006568A3">
        <w:rPr>
          <w:iCs/>
        </w:rPr>
        <w:t xml:space="preserve">m sua responsabilidade no logro dos objetivos definidos e na execução das medidas previstas. Ao mesmo tempo o plano promove a </w:t>
      </w:r>
      <w:r w:rsidRPr="006568A3">
        <w:rPr>
          <w:b/>
          <w:bCs/>
        </w:rPr>
        <w:t>Integração e articulação</w:t>
      </w:r>
      <w:r w:rsidRPr="006568A3">
        <w:rPr>
          <w:iCs/>
        </w:rPr>
        <w:t xml:space="preserve"> d</w:t>
      </w:r>
      <w:r w:rsidRPr="006568A3">
        <w:rPr>
          <w:lang w:eastAsia="fr-CH"/>
        </w:rPr>
        <w:t xml:space="preserve">as entidades implicadas na implementação </w:t>
      </w:r>
      <w:r w:rsidRPr="006568A3">
        <w:rPr>
          <w:iCs/>
        </w:rPr>
        <w:t xml:space="preserve">sobre a base dos critérios comuns, combinados durante sua formulação, nomeadamente as medidas e programas conjuntos e/ou complementares, os órgãos de informação e de decisão, e os mecanismos de coordenação e seguimento. Através da conjugação de sinergias e </w:t>
      </w:r>
      <w:r w:rsidRPr="006568A3">
        <w:rPr>
          <w:lang w:eastAsia="fr-CH"/>
        </w:rPr>
        <w:t xml:space="preserve">a união de esforço </w:t>
      </w:r>
      <w:r w:rsidRPr="006568A3">
        <w:rPr>
          <w:iCs/>
        </w:rPr>
        <w:t>o plano buscara o aproveitamento mais funcional dos recursos existentes</w:t>
      </w:r>
    </w:p>
    <w:p w:rsidR="00724379" w:rsidRPr="00C90523" w:rsidRDefault="00724379" w:rsidP="00601B77">
      <w:pPr>
        <w:spacing w:after="0"/>
        <w:jc w:val="both"/>
        <w:rPr>
          <w:rFonts w:cs="TimesNewRomanPSMT"/>
        </w:rPr>
      </w:pPr>
    </w:p>
    <w:p w:rsidR="00724379" w:rsidRPr="00C90523" w:rsidRDefault="006568A3" w:rsidP="00243978">
      <w:pPr>
        <w:numPr>
          <w:ilvl w:val="0"/>
          <w:numId w:val="11"/>
        </w:numPr>
        <w:spacing w:after="0"/>
        <w:ind w:left="284" w:right="44" w:hanging="284"/>
        <w:jc w:val="both"/>
        <w:rPr>
          <w:iCs/>
        </w:rPr>
      </w:pPr>
      <w:r w:rsidRPr="006568A3">
        <w:rPr>
          <w:b/>
          <w:i/>
          <w:iCs/>
        </w:rPr>
        <w:t>Participação</w:t>
      </w:r>
      <w:r w:rsidRPr="006568A3">
        <w:rPr>
          <w:b/>
          <w:iCs/>
        </w:rPr>
        <w:t xml:space="preserve">: </w:t>
      </w:r>
      <w:r w:rsidRPr="006568A3">
        <w:rPr>
          <w:iCs/>
        </w:rPr>
        <w:t xml:space="preserve">A participação activa de todos os agentes nos processos de planeamento, seguimento e avaliação é parte constitutiva da metodologia de elaboração e implementação do plano. As organizações da sociedade civil e particularmente das mulheres são consideradas actores privilegiados na interlocução com o governo para a elaboração dos programas de desenvolvimento, como forma de assegurar que os mesmos tenham em conta as necessidades reais e os interesses diferenciados de homens e mulheres. </w:t>
      </w:r>
    </w:p>
    <w:p w:rsidR="00724379" w:rsidRPr="00C90523" w:rsidRDefault="00724379" w:rsidP="00601B77">
      <w:pPr>
        <w:spacing w:after="0"/>
        <w:ind w:left="284" w:right="44"/>
        <w:jc w:val="both"/>
        <w:rPr>
          <w:iCs/>
        </w:rPr>
      </w:pPr>
    </w:p>
    <w:p w:rsidR="00724379" w:rsidRPr="00C90523" w:rsidRDefault="006568A3" w:rsidP="00243978">
      <w:pPr>
        <w:pStyle w:val="PargrafodaLista"/>
        <w:numPr>
          <w:ilvl w:val="0"/>
          <w:numId w:val="10"/>
        </w:numPr>
        <w:spacing w:after="0"/>
        <w:ind w:left="284" w:right="44" w:hanging="284"/>
        <w:contextualSpacing w:val="0"/>
        <w:jc w:val="both"/>
        <w:rPr>
          <w:iCs/>
        </w:rPr>
      </w:pPr>
      <w:r w:rsidRPr="006568A3">
        <w:rPr>
          <w:b/>
          <w:i/>
          <w:iCs/>
        </w:rPr>
        <w:t xml:space="preserve">Planificação sistematizada </w:t>
      </w:r>
      <w:r w:rsidRPr="006568A3">
        <w:rPr>
          <w:b/>
          <w:bCs/>
          <w:i/>
          <w:iCs/>
        </w:rPr>
        <w:t>e financiamento</w:t>
      </w:r>
      <w:r w:rsidRPr="006568A3">
        <w:rPr>
          <w:b/>
          <w:bCs/>
          <w:iCs/>
        </w:rPr>
        <w:t>:</w:t>
      </w:r>
      <w:r w:rsidRPr="006568A3">
        <w:rPr>
          <w:iCs/>
          <w:color w:val="FF0000"/>
        </w:rPr>
        <w:t xml:space="preserve"> </w:t>
      </w:r>
      <w:r w:rsidRPr="006568A3">
        <w:rPr>
          <w:iCs/>
        </w:rPr>
        <w:t>Um plano sem recursos alocados não é um plano implementável. Por isso a planificação sistematizada é um princípio fundamental de atuação, que visa a incorporação das medidas estratégicas do plano nos orçamentos das instituições responsáveis. O Orçamento Geral do Estado é um reflexo da vontade política e do nível de compromisso do Governo como a igualdade de género.</w:t>
      </w:r>
      <w:r w:rsidRPr="006568A3">
        <w:rPr>
          <w:i/>
        </w:rPr>
        <w:t xml:space="preserve"> </w:t>
      </w:r>
      <w:r w:rsidRPr="006568A3">
        <w:rPr>
          <w:iCs/>
        </w:rPr>
        <w:t>A distribuição dos recursos deve obedecer ao equilíbrio nas relações de género, tanto na estrutura orgânica e organizacional dos serviços como na formação dos profissionais para atender às necessidades específicas de homens e mulheres</w:t>
      </w:r>
      <w:r w:rsidR="00861276">
        <w:rPr>
          <w:iCs/>
        </w:rPr>
        <w:t>.</w:t>
      </w:r>
      <w:r w:rsidRPr="006568A3">
        <w:rPr>
          <w:iCs/>
        </w:rPr>
        <w:t xml:space="preserve"> O orçamento deve também assegurar as capacidades institucionais suficientes do mecanismo nacional responsável pela coordenação, seguimento e avaliação do plano, o Instituto Cabo</w:t>
      </w:r>
      <w:r w:rsidR="00861276">
        <w:rPr>
          <w:iCs/>
        </w:rPr>
        <w:t>-</w:t>
      </w:r>
      <w:r w:rsidRPr="006568A3">
        <w:rPr>
          <w:iCs/>
        </w:rPr>
        <w:t>verdiano para a Igualdade e Equidade de Género (ICIEG).</w:t>
      </w:r>
    </w:p>
    <w:p w:rsidR="008331D8" w:rsidRPr="00C90523" w:rsidRDefault="008331D8" w:rsidP="008331D8">
      <w:pPr>
        <w:spacing w:after="0"/>
        <w:ind w:left="284"/>
        <w:rPr>
          <w:sz w:val="18"/>
          <w:szCs w:val="18"/>
        </w:rPr>
      </w:pPr>
    </w:p>
    <w:p w:rsidR="00C207D5" w:rsidRPr="00C90523" w:rsidRDefault="006568A3" w:rsidP="00601B77">
      <w:pPr>
        <w:pStyle w:val="Cabealho1"/>
      </w:pPr>
      <w:bookmarkStart w:id="79" w:name="_Toc406667298"/>
      <w:r w:rsidRPr="006568A3">
        <w:t>2. RESULTADOS E MEDIDAS ESTRATÉGICAS</w:t>
      </w:r>
      <w:bookmarkEnd w:id="79"/>
      <w:r w:rsidRPr="006568A3">
        <w:t xml:space="preserve"> </w:t>
      </w:r>
    </w:p>
    <w:p w:rsidR="00C207D5" w:rsidRPr="00C90523" w:rsidRDefault="00C207D5" w:rsidP="00C207D5">
      <w:pPr>
        <w:tabs>
          <w:tab w:val="left" w:pos="567"/>
        </w:tabs>
        <w:spacing w:after="0" w:line="240" w:lineRule="auto"/>
        <w:jc w:val="both"/>
        <w:rPr>
          <w:rFonts w:eastAsia="Times New Roman" w:cs="Times New Roman"/>
          <w:bCs/>
          <w:sz w:val="24"/>
          <w:szCs w:val="24"/>
          <w:lang w:eastAsia="fr-CH"/>
        </w:rPr>
      </w:pPr>
    </w:p>
    <w:p w:rsidR="00C207D5" w:rsidRPr="00C90523" w:rsidRDefault="006568A3" w:rsidP="00C207D5">
      <w:pPr>
        <w:tabs>
          <w:tab w:val="left" w:pos="567"/>
        </w:tabs>
        <w:spacing w:after="0"/>
        <w:jc w:val="both"/>
        <w:rPr>
          <w:rFonts w:cs="Times New Roman"/>
        </w:rPr>
      </w:pPr>
      <w:r w:rsidRPr="006568A3">
        <w:rPr>
          <w:rFonts w:eastAsia="Times New Roman" w:cs="Times New Roman"/>
          <w:bCs/>
          <w:lang w:eastAsia="fr-CH"/>
        </w:rPr>
        <w:t xml:space="preserve">O PNIG abrange a totalidade do território nacional de Cabo Verde e sua duração está prevista para quatro anos, de 2015 a 2018. Em base aos desafios priorizados para cada um dos eixos estratégicos foram definidos os resultados </w:t>
      </w:r>
      <w:r w:rsidRPr="006568A3">
        <w:rPr>
          <w:rFonts w:cs="Times New Roman"/>
        </w:rPr>
        <w:t xml:space="preserve">específicos que se pretende lograr com o PNIG assim como as medidas estratégicas para atingi-los. Cada medida conta como uma entidade responsável, sendo também identificados outras entidades envolvidas como potenciais parceiros e as ligações com os programas sectoriais e os programas do DECRP III existentes (como mostram os quadro institucionais de intervenção incluídos no apartado 3.3). Como foi anteriormente indicado, para o eixo de violência baseada no género os resultados e medidas são aqueles definidos no do IIº Plano Nacional de Combate à Violência Baseada no Género aprovado para o período 2014-2016, por o que não estão incluídos neste documento. A continuação se </w:t>
      </w:r>
      <w:r w:rsidR="00861276">
        <w:rPr>
          <w:rFonts w:cs="Times New Roman"/>
        </w:rPr>
        <w:t>e</w:t>
      </w:r>
      <w:r w:rsidRPr="006568A3">
        <w:rPr>
          <w:rFonts w:cs="Times New Roman"/>
        </w:rPr>
        <w:t>numeram os resultados e medidas por cada um dos eixos.</w:t>
      </w:r>
    </w:p>
    <w:p w:rsidR="00C207D5" w:rsidRPr="00C90523" w:rsidRDefault="00C207D5" w:rsidP="00C207D5">
      <w:pPr>
        <w:pStyle w:val="Cabealho3"/>
        <w:spacing w:before="0"/>
      </w:pPr>
    </w:p>
    <w:p w:rsidR="00C207D5" w:rsidRPr="00C90523" w:rsidRDefault="006568A3" w:rsidP="00601B77">
      <w:pPr>
        <w:pStyle w:val="Cabealho2"/>
      </w:pPr>
      <w:bookmarkStart w:id="80" w:name="_Toc406667299"/>
      <w:r w:rsidRPr="006568A3">
        <w:t>2.1.</w:t>
      </w:r>
      <w:r w:rsidRPr="006568A3">
        <w:tab/>
        <w:t xml:space="preserve">EIXO ESTRATÉGICO </w:t>
      </w:r>
      <w:r w:rsidRPr="006568A3">
        <w:rPr>
          <w:i/>
        </w:rPr>
        <w:t>SAÚDE</w:t>
      </w:r>
      <w:r w:rsidR="009D7FAD">
        <w:rPr>
          <w:i/>
        </w:rPr>
        <w:t>.</w:t>
      </w:r>
      <w:bookmarkEnd w:id="80"/>
      <w:r w:rsidRPr="006568A3">
        <w:t xml:space="preserve"> </w:t>
      </w:r>
    </w:p>
    <w:p w:rsidR="00C207D5" w:rsidRPr="00C90523" w:rsidRDefault="00C207D5" w:rsidP="00C207D5">
      <w:pPr>
        <w:spacing w:after="0"/>
        <w:rPr>
          <w:b/>
        </w:rPr>
      </w:pPr>
    </w:p>
    <w:p w:rsidR="00C207D5" w:rsidRPr="00C90523" w:rsidRDefault="006568A3" w:rsidP="00C207D5">
      <w:pPr>
        <w:spacing w:after="120"/>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 xml:space="preserve">1.1 </w:t>
      </w:r>
      <w:r w:rsidRPr="006568A3">
        <w:tab/>
        <w:t>Aumento do número de programas da saúde que utilizam uma abordagem de género e contribuem para respostas aos problemas diferenciados de mulheres e homens, incluindo grupos específicos, e um maior acesso dos homens aos diferentes serviços.</w:t>
      </w:r>
    </w:p>
    <w:p w:rsidR="00C207D5" w:rsidRPr="00C90523" w:rsidRDefault="006568A3" w:rsidP="00F54E8A">
      <w:pPr>
        <w:spacing w:after="120"/>
        <w:ind w:left="567" w:hanging="425"/>
        <w:jc w:val="both"/>
      </w:pPr>
      <w:r w:rsidRPr="006568A3">
        <w:t xml:space="preserve">1.2 </w:t>
      </w:r>
      <w:r w:rsidRPr="006568A3">
        <w:tab/>
        <w:t>Os dados do sector saúde estão disponíveis desagregados por sexo e outras variáveis relevantes e utilizados de maneira sistemática na planificação sectorial e no seguimento e avaliação do PNDS.</w:t>
      </w:r>
    </w:p>
    <w:p w:rsidR="00C207D5" w:rsidRPr="00C90523" w:rsidRDefault="006568A3" w:rsidP="00F54E8A">
      <w:pPr>
        <w:spacing w:after="120"/>
        <w:ind w:left="567" w:hanging="425"/>
        <w:jc w:val="both"/>
      </w:pPr>
      <w:r w:rsidRPr="006568A3">
        <w:t xml:space="preserve">1.3 </w:t>
      </w:r>
      <w:r w:rsidRPr="006568A3">
        <w:tab/>
        <w:t>Maior conhecimento do impacto nas mulheres do tempo dedicado aos cuidados de pessoas doentes.</w:t>
      </w:r>
    </w:p>
    <w:p w:rsidR="00C207D5" w:rsidRPr="00C90523" w:rsidRDefault="00C207D5" w:rsidP="00C207D5">
      <w:pPr>
        <w:spacing w:after="0"/>
        <w:rPr>
          <w:b/>
          <w:i/>
          <w:sz w:val="24"/>
          <w:szCs w:val="24"/>
        </w:rPr>
      </w:pPr>
    </w:p>
    <w:p w:rsidR="00C207D5" w:rsidRPr="00C90523" w:rsidRDefault="006568A3" w:rsidP="00F54E8A">
      <w:pPr>
        <w:spacing w:after="120"/>
        <w:rPr>
          <w:b/>
          <w:i/>
          <w:sz w:val="24"/>
          <w:szCs w:val="24"/>
        </w:rPr>
      </w:pPr>
      <w:r w:rsidRPr="006568A3">
        <w:rPr>
          <w:b/>
          <w:i/>
          <w:sz w:val="24"/>
          <w:szCs w:val="24"/>
        </w:rPr>
        <w:t>Medidas estratégicas</w:t>
      </w:r>
    </w:p>
    <w:p w:rsidR="00C207D5" w:rsidRPr="00C90523" w:rsidRDefault="006568A3" w:rsidP="00F54E8A">
      <w:pPr>
        <w:spacing w:after="120"/>
        <w:ind w:left="851" w:hanging="567"/>
        <w:jc w:val="both"/>
      </w:pPr>
      <w:r w:rsidRPr="006568A3">
        <w:t xml:space="preserve">1.1.1 </w:t>
      </w:r>
      <w:r w:rsidRPr="006568A3">
        <w:tab/>
        <w:t xml:space="preserve">Acompanhar a implementação das propostas feitas para integração da abordagem de género no Plano Nacional de Desenvolvimento Sanitário (PNDS 2012-2016). </w:t>
      </w:r>
    </w:p>
    <w:p w:rsidR="00C207D5" w:rsidRPr="00C90523" w:rsidRDefault="006568A3" w:rsidP="00F54E8A">
      <w:pPr>
        <w:spacing w:after="120"/>
        <w:ind w:left="851" w:hanging="567"/>
        <w:jc w:val="both"/>
      </w:pPr>
      <w:r w:rsidRPr="006568A3">
        <w:t xml:space="preserve">1.1.2 </w:t>
      </w:r>
      <w:r w:rsidRPr="006568A3">
        <w:tab/>
        <w:t>Analisar os programas do PNDS priorizados  (Diabetes, Luta contra o Cancro, Saúde Mental) e propor/acompanhar a implementação de medidas para que a prestação de serviços responda às necessidades diferenciadas de mulheres e homens, incluindo grupos específicos.</w:t>
      </w:r>
    </w:p>
    <w:p w:rsidR="00C207D5" w:rsidRPr="00C90523" w:rsidRDefault="006568A3" w:rsidP="00F54E8A">
      <w:pPr>
        <w:spacing w:after="120"/>
        <w:ind w:left="851" w:hanging="567"/>
        <w:jc w:val="both"/>
      </w:pPr>
      <w:r w:rsidRPr="006568A3">
        <w:t xml:space="preserve">1.2.1 </w:t>
      </w:r>
      <w:r w:rsidRPr="006568A3">
        <w:tab/>
        <w:t>Analisar o sistema e os processos de produção de dados do sistema de informação da saúde e propor medidas para que o tratamento dos dados seja desagregados a todos os níveis.</w:t>
      </w:r>
    </w:p>
    <w:p w:rsidR="00C207D5" w:rsidRPr="00C90523" w:rsidRDefault="006568A3" w:rsidP="00F54E8A">
      <w:pPr>
        <w:spacing w:after="120"/>
        <w:ind w:left="851" w:hanging="567"/>
        <w:jc w:val="both"/>
      </w:pPr>
      <w:r w:rsidRPr="006568A3">
        <w:t xml:space="preserve">1.2.2 </w:t>
      </w:r>
      <w:r w:rsidRPr="006568A3">
        <w:tab/>
        <w:t xml:space="preserve">Analisar o projecto de desenvolvimento do Sistema Integrado de Saúde (SIS) e acompanhar a implementação de medidas para a integração da abordagem de género no SIS. </w:t>
      </w:r>
    </w:p>
    <w:p w:rsidR="00C207D5" w:rsidRPr="00C90523" w:rsidRDefault="006568A3" w:rsidP="00F54E8A">
      <w:pPr>
        <w:spacing w:after="120"/>
        <w:ind w:left="851" w:hanging="567"/>
        <w:jc w:val="both"/>
      </w:pPr>
      <w:r w:rsidRPr="006568A3">
        <w:t xml:space="preserve">1.2.3 </w:t>
      </w:r>
      <w:r w:rsidRPr="006568A3">
        <w:tab/>
        <w:t xml:space="preserve">Promover no seguimento, na revisão a meio percurso e na avaliação do PNDS  o uso de estatísticas/indicadores desagregados por sexos outras variáveis. </w:t>
      </w:r>
    </w:p>
    <w:p w:rsidR="00C207D5" w:rsidRPr="00C90523" w:rsidRDefault="006568A3" w:rsidP="00F54E8A">
      <w:pPr>
        <w:spacing w:after="120"/>
        <w:ind w:left="851" w:hanging="567"/>
        <w:jc w:val="both"/>
      </w:pPr>
      <w:r w:rsidRPr="006568A3">
        <w:t xml:space="preserve">1.2.4 </w:t>
      </w:r>
      <w:r w:rsidRPr="006568A3">
        <w:tab/>
        <w:t>Acompanhar a elaboração do novo plano estratégico da saúde com vistas a assegurar a integração da abordagem de género.</w:t>
      </w:r>
    </w:p>
    <w:p w:rsidR="00C207D5" w:rsidRPr="00C90523" w:rsidRDefault="006568A3" w:rsidP="00F54E8A">
      <w:pPr>
        <w:spacing w:after="120"/>
        <w:ind w:left="851" w:hanging="567"/>
        <w:jc w:val="both"/>
      </w:pPr>
      <w:r w:rsidRPr="006568A3">
        <w:t xml:space="preserve">1.3.1 </w:t>
      </w:r>
      <w:r w:rsidRPr="006568A3">
        <w:tab/>
        <w:t>Elaborar um estudo sobre impacto nas mulheres do tempo dedicado aos cuidados de pessoas doentes e formulação de propostas com base nas recomendações,  para melhorar os programas de prestação de cuidados de saúde, bem como de apoio às/aos que cuidam.</w:t>
      </w:r>
    </w:p>
    <w:p w:rsidR="00C207D5" w:rsidRPr="00C90523" w:rsidRDefault="00C207D5" w:rsidP="00C207D5">
      <w:pPr>
        <w:spacing w:after="0"/>
        <w:ind w:left="851" w:hanging="567"/>
        <w:rPr>
          <w:sz w:val="24"/>
          <w:szCs w:val="24"/>
        </w:rPr>
      </w:pPr>
    </w:p>
    <w:p w:rsidR="00C207D5" w:rsidRPr="00C90523" w:rsidRDefault="006568A3" w:rsidP="00601B77">
      <w:pPr>
        <w:pStyle w:val="Cabealho2"/>
      </w:pPr>
      <w:bookmarkStart w:id="81" w:name="_Toc406667300"/>
      <w:r w:rsidRPr="006568A3">
        <w:t>2.2.</w:t>
      </w:r>
      <w:r w:rsidRPr="006568A3">
        <w:tab/>
        <w:t xml:space="preserve">EIXO ESTRATÉGICO </w:t>
      </w:r>
      <w:r w:rsidRPr="006568A3">
        <w:rPr>
          <w:i/>
        </w:rPr>
        <w:t>DIREITOS SEXUAIS E REPRODUTIVOS</w:t>
      </w:r>
      <w:r w:rsidR="009D7FAD">
        <w:rPr>
          <w:i/>
        </w:rPr>
        <w:t>.</w:t>
      </w:r>
      <w:bookmarkEnd w:id="81"/>
    </w:p>
    <w:p w:rsidR="00C207D5" w:rsidRPr="00C90523" w:rsidRDefault="00C207D5" w:rsidP="00C207D5">
      <w:pPr>
        <w:spacing w:after="0"/>
        <w:rPr>
          <w:b/>
          <w:i/>
          <w:sz w:val="24"/>
          <w:szCs w:val="24"/>
        </w:rPr>
      </w:pPr>
    </w:p>
    <w:p w:rsidR="00C207D5" w:rsidRPr="00C90523" w:rsidRDefault="006568A3" w:rsidP="00C207D5">
      <w:pPr>
        <w:spacing w:after="120"/>
        <w:jc w:val="both"/>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2.1</w:t>
      </w:r>
      <w:r w:rsidRPr="006568A3">
        <w:tab/>
        <w:t xml:space="preserve">Aumentada a sensibilidade dos serviços de SSR às questões de género, bem como as respostas às necessidades de homens e mulheres e de grupos específicos, para uma maior autonomia das raparigas e mulheres, e de exercício de masculinidades positivas dos homens e rapazes. </w:t>
      </w:r>
    </w:p>
    <w:p w:rsidR="00C207D5" w:rsidRPr="00C90523" w:rsidRDefault="006568A3" w:rsidP="00F54E8A">
      <w:pPr>
        <w:spacing w:after="120"/>
        <w:ind w:left="567" w:hanging="425"/>
        <w:jc w:val="both"/>
      </w:pPr>
      <w:r w:rsidRPr="006568A3">
        <w:t>2.2</w:t>
      </w:r>
      <w:r w:rsidRPr="006568A3">
        <w:tab/>
        <w:t xml:space="preserve">As análises e a planificação no domínio do VIH/SIDA integram melhor os papeis de género atribuídos a homens e mulheres e abordagens promotoras da mudança de comportamento. </w:t>
      </w:r>
    </w:p>
    <w:p w:rsidR="00C207D5" w:rsidRPr="00C90523" w:rsidRDefault="006568A3" w:rsidP="00F54E8A">
      <w:pPr>
        <w:spacing w:after="120"/>
        <w:ind w:left="567" w:hanging="425"/>
        <w:jc w:val="both"/>
      </w:pPr>
      <w:r w:rsidRPr="006568A3">
        <w:t>2.3</w:t>
      </w:r>
      <w:r w:rsidRPr="006568A3">
        <w:tab/>
        <w:t>Lideranças comunitárias e pessoal técnico de enquadramento com competências aumentadas para um</w:t>
      </w:r>
      <w:r w:rsidR="00861276">
        <w:t>a</w:t>
      </w:r>
      <w:r w:rsidRPr="006568A3">
        <w:t xml:space="preserve"> abordagem de género das questões de sexualidade a nível comunitário.</w:t>
      </w:r>
    </w:p>
    <w:p w:rsidR="00C207D5" w:rsidRPr="00C90523" w:rsidRDefault="006568A3" w:rsidP="00F54E8A">
      <w:pPr>
        <w:spacing w:after="120"/>
        <w:ind w:left="567" w:hanging="425"/>
        <w:jc w:val="both"/>
      </w:pPr>
      <w:r w:rsidRPr="006568A3">
        <w:t>2.4</w:t>
      </w:r>
      <w:r w:rsidRPr="006568A3">
        <w:tab/>
        <w:t>Melhorado a compreensão do fenómeno da gravidez na adolescência e engajamento com a sua prevenção.</w:t>
      </w:r>
    </w:p>
    <w:p w:rsidR="00C207D5" w:rsidRPr="00C90523" w:rsidRDefault="00C207D5" w:rsidP="00C207D5">
      <w:pPr>
        <w:spacing w:after="0"/>
        <w:jc w:val="both"/>
        <w:rPr>
          <w:b/>
          <w:i/>
          <w:sz w:val="24"/>
          <w:szCs w:val="24"/>
        </w:rPr>
      </w:pPr>
    </w:p>
    <w:p w:rsidR="00C207D5" w:rsidRPr="00C90523" w:rsidRDefault="006568A3" w:rsidP="00F54E8A">
      <w:pPr>
        <w:spacing w:after="120"/>
        <w:jc w:val="both"/>
      </w:pPr>
      <w:r w:rsidRPr="006568A3">
        <w:rPr>
          <w:b/>
          <w:i/>
          <w:sz w:val="24"/>
          <w:szCs w:val="24"/>
        </w:rPr>
        <w:t>Medidas estratégicas</w:t>
      </w:r>
    </w:p>
    <w:p w:rsidR="00C207D5" w:rsidRPr="00C90523" w:rsidRDefault="006568A3" w:rsidP="00F54E8A">
      <w:pPr>
        <w:spacing w:after="120"/>
        <w:ind w:left="851" w:hanging="567"/>
        <w:jc w:val="both"/>
      </w:pPr>
      <w:r w:rsidRPr="006568A3">
        <w:t>2.1.1</w:t>
      </w:r>
      <w:r w:rsidRPr="006568A3">
        <w:tab/>
        <w:t xml:space="preserve">Diagnosticar as práticas atuais e os gaps existentes na prestação de serviços de Saúde Sexual Reprodutiva (SSR), incluindo a </w:t>
      </w:r>
      <w:r w:rsidRPr="006568A3">
        <w:rPr>
          <w:rFonts w:cs="Arial"/>
          <w:lang w:eastAsia="es-EC"/>
        </w:rPr>
        <w:t>Informação, Educação e Comunicação (</w:t>
      </w:r>
      <w:r w:rsidRPr="006568A3">
        <w:t xml:space="preserve">IEC) e a prevenção das práticas consequências da prática insegura de IVG, tendo em conta as especificidades de género dos beneficiários/as, incluindo de grupos específicos.   </w:t>
      </w:r>
    </w:p>
    <w:p w:rsidR="00C207D5" w:rsidRPr="00C90523" w:rsidRDefault="006568A3" w:rsidP="00F54E8A">
      <w:pPr>
        <w:spacing w:after="120"/>
        <w:ind w:left="851" w:hanging="567"/>
        <w:jc w:val="both"/>
      </w:pPr>
      <w:r w:rsidRPr="006568A3">
        <w:t>2.1.2</w:t>
      </w:r>
      <w:r w:rsidRPr="006568A3">
        <w:tab/>
        <w:t>Reforçar dentro do Programa de Saúde Reprodutiva linhas de atuação de atenção às demandas de homens e mulheres e grupos específicos em relação à SSR.</w:t>
      </w:r>
    </w:p>
    <w:p w:rsidR="00C207D5" w:rsidRPr="00C90523" w:rsidRDefault="006568A3" w:rsidP="00F54E8A">
      <w:pPr>
        <w:spacing w:after="120"/>
        <w:ind w:left="851" w:hanging="567"/>
        <w:jc w:val="both"/>
      </w:pPr>
      <w:r w:rsidRPr="006568A3">
        <w:t>2.1.3</w:t>
      </w:r>
      <w:r w:rsidRPr="006568A3">
        <w:tab/>
        <w:t>Capacitar em matéria de género e outras áreas identificadas no diagnóstico dos/as tomadores de decisão e técnicos/as prestadores/as de serviços.</w:t>
      </w:r>
    </w:p>
    <w:p w:rsidR="00C207D5" w:rsidRPr="00C90523" w:rsidRDefault="006568A3" w:rsidP="00F54E8A">
      <w:pPr>
        <w:spacing w:after="120"/>
        <w:ind w:left="851" w:hanging="567"/>
        <w:jc w:val="both"/>
      </w:pPr>
      <w:r w:rsidRPr="006568A3">
        <w:t>2.1.4</w:t>
      </w:r>
      <w:r w:rsidRPr="006568A3">
        <w:tab/>
        <w:t xml:space="preserve">Desenvolver campanhas para a promoção da procura dos serviços de SSR por parte dos diferentes grupos. </w:t>
      </w:r>
    </w:p>
    <w:p w:rsidR="00C207D5" w:rsidRPr="00C90523" w:rsidRDefault="006568A3" w:rsidP="00F54E8A">
      <w:pPr>
        <w:spacing w:after="120"/>
        <w:ind w:left="851" w:hanging="567"/>
        <w:jc w:val="both"/>
      </w:pPr>
      <w:r w:rsidRPr="006568A3">
        <w:t>2.2.1</w:t>
      </w:r>
      <w:r w:rsidRPr="006568A3">
        <w:tab/>
        <w:t xml:space="preserve">Elaborar uma avaliação do impacto das estratégias de promoção da saúde no contexto do combate às IST/VIH/SIDA, que inclua uma análise de género das dinâmicas subjacentes aos comportamentos de risco dos grupos prioritários identificados pelo Plano Nacional de combate ao VIH-SIDA e elaborar estratégias de intervenção que visam as mudanças de comportamento, a serem integradas na planificação do combate ao VIH-SIDA.  </w:t>
      </w:r>
    </w:p>
    <w:p w:rsidR="00C207D5" w:rsidRPr="00C90523" w:rsidRDefault="006568A3" w:rsidP="00F54E8A">
      <w:pPr>
        <w:spacing w:after="120"/>
        <w:ind w:left="851" w:hanging="567"/>
        <w:jc w:val="both"/>
      </w:pPr>
      <w:r w:rsidRPr="006568A3">
        <w:t>2.3.1</w:t>
      </w:r>
      <w:r w:rsidRPr="006568A3">
        <w:tab/>
        <w:t>Mapear instituições e organizações com trabalho a nível comunitário e promover reflexão sobre a abordagem da sensibilização/CMC (comunicação para a mudança de  comportamento) que permita o desenvolvimento de uma abordagem mais eficaz (positiva).</w:t>
      </w:r>
    </w:p>
    <w:p w:rsidR="00C207D5" w:rsidRPr="00C90523" w:rsidRDefault="006568A3" w:rsidP="00F54E8A">
      <w:pPr>
        <w:spacing w:after="120"/>
        <w:ind w:left="851" w:hanging="567"/>
        <w:jc w:val="both"/>
      </w:pPr>
      <w:r w:rsidRPr="006568A3">
        <w:t>2.3.2</w:t>
      </w:r>
      <w:r w:rsidRPr="006568A3">
        <w:tab/>
        <w:t>Identificar áreas geográficas para implementação piloto e capacitar técnicos das instituições envolvidas e das lideranças comunitárias na abordagem de género da sexualidade a nível comunitário, numa lógica de formação de formadores.</w:t>
      </w:r>
    </w:p>
    <w:p w:rsidR="00C207D5" w:rsidRPr="00C90523" w:rsidRDefault="006568A3" w:rsidP="00F54E8A">
      <w:pPr>
        <w:spacing w:after="120"/>
        <w:ind w:left="851" w:hanging="567"/>
        <w:jc w:val="both"/>
      </w:pPr>
      <w:r w:rsidRPr="006568A3">
        <w:t>2.4.1</w:t>
      </w:r>
      <w:r w:rsidRPr="006568A3">
        <w:tab/>
        <w:t xml:space="preserve">Elaborar um estudo acerca dos factores de risco para a gravidez na adolescência e dinâmicas sociais subjacentes e elaborar propostas de atuação.  </w:t>
      </w:r>
    </w:p>
    <w:p w:rsidR="00C207D5" w:rsidRPr="00C90523" w:rsidRDefault="006568A3" w:rsidP="00F54E8A">
      <w:pPr>
        <w:spacing w:after="120"/>
        <w:ind w:left="851" w:hanging="567"/>
        <w:jc w:val="both"/>
      </w:pPr>
      <w:r w:rsidRPr="006568A3">
        <w:t>2.4.2</w:t>
      </w:r>
      <w:r w:rsidRPr="006568A3">
        <w:tab/>
        <w:t>Apoiar campanhas/programas de prevenção da gravidez na adolescência.</w:t>
      </w:r>
    </w:p>
    <w:p w:rsidR="00C207D5" w:rsidRPr="00C90523" w:rsidRDefault="00C207D5" w:rsidP="00C207D5">
      <w:pPr>
        <w:jc w:val="both"/>
      </w:pPr>
    </w:p>
    <w:p w:rsidR="00C207D5" w:rsidRPr="00C90523" w:rsidRDefault="006568A3" w:rsidP="00601B77">
      <w:pPr>
        <w:pStyle w:val="Cabealho2"/>
        <w:rPr>
          <w:i/>
        </w:rPr>
      </w:pPr>
      <w:bookmarkStart w:id="82" w:name="_Toc406667301"/>
      <w:r w:rsidRPr="006568A3">
        <w:t>2.3.</w:t>
      </w:r>
      <w:r w:rsidRPr="006568A3">
        <w:tab/>
        <w:t xml:space="preserve">EIXO ESTRATÉGICO </w:t>
      </w:r>
      <w:r w:rsidRPr="006568A3">
        <w:rPr>
          <w:i/>
        </w:rPr>
        <w:t>EDUCAÇÃO E FORMAÇÃO PROFISSIONAL</w:t>
      </w:r>
      <w:r w:rsidR="009D7FAD">
        <w:rPr>
          <w:i/>
        </w:rPr>
        <w:t>.</w:t>
      </w:r>
      <w:bookmarkEnd w:id="82"/>
    </w:p>
    <w:p w:rsidR="00601B77" w:rsidRPr="00C90523" w:rsidRDefault="00601B77" w:rsidP="00601B77">
      <w:pPr>
        <w:spacing w:after="0"/>
        <w:rPr>
          <w:b/>
          <w:i/>
          <w:sz w:val="24"/>
          <w:szCs w:val="24"/>
        </w:rPr>
      </w:pPr>
    </w:p>
    <w:p w:rsidR="00C207D5" w:rsidRPr="00C90523" w:rsidRDefault="006568A3" w:rsidP="00C207D5">
      <w:pPr>
        <w:spacing w:after="120"/>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3.1</w:t>
      </w:r>
      <w:r w:rsidRPr="006568A3">
        <w:tab/>
        <w:t>Maior integração da igualdade de género nas práticas educativas nos vários níveis de ensino (pré-escolar, básico, secundário, superior, formação profissional).</w:t>
      </w:r>
    </w:p>
    <w:p w:rsidR="00E9106E" w:rsidRPr="00F54E8A" w:rsidRDefault="006568A3" w:rsidP="00F54E8A">
      <w:pPr>
        <w:spacing w:after="120"/>
        <w:ind w:left="567" w:hanging="425"/>
        <w:jc w:val="both"/>
        <w:rPr>
          <w:sz w:val="24"/>
          <w:szCs w:val="24"/>
        </w:rPr>
      </w:pPr>
      <w:r w:rsidRPr="006568A3">
        <w:t>3.2</w:t>
      </w:r>
      <w:r w:rsidRPr="006568A3">
        <w:tab/>
        <w:t>Estratégias identificadas e implementadas para diminuir as taxas de insucesso e abandono escolar respondendo diferenciadamente às especificidades de rapazes e raparigas.</w:t>
      </w:r>
    </w:p>
    <w:p w:rsidR="00E9106E" w:rsidRPr="00C90523" w:rsidRDefault="00E9106E" w:rsidP="00C207D5">
      <w:pPr>
        <w:spacing w:after="120"/>
        <w:rPr>
          <w:b/>
          <w:i/>
          <w:sz w:val="24"/>
          <w:szCs w:val="24"/>
        </w:rPr>
      </w:pPr>
    </w:p>
    <w:p w:rsidR="00C207D5" w:rsidRPr="00C90523" w:rsidRDefault="006568A3" w:rsidP="00C207D5">
      <w:pPr>
        <w:spacing w:after="120"/>
        <w:rPr>
          <w:b/>
          <w:i/>
          <w:sz w:val="24"/>
          <w:szCs w:val="24"/>
        </w:rPr>
      </w:pPr>
      <w:r w:rsidRPr="006568A3">
        <w:rPr>
          <w:b/>
          <w:i/>
          <w:sz w:val="24"/>
          <w:szCs w:val="24"/>
        </w:rPr>
        <w:t>Medidas estratégicas</w:t>
      </w:r>
    </w:p>
    <w:p w:rsidR="00C207D5" w:rsidRPr="00C90523" w:rsidRDefault="006568A3" w:rsidP="00C207D5">
      <w:pPr>
        <w:spacing w:after="120"/>
        <w:ind w:left="851" w:hanging="567"/>
        <w:jc w:val="both"/>
      </w:pPr>
      <w:r w:rsidRPr="006568A3">
        <w:t>3.1.1</w:t>
      </w:r>
      <w:r w:rsidRPr="006568A3">
        <w:tab/>
        <w:t>Revisar os instrumentos pedagógicos e materiais didácticos do ensino pré-escolar, básico e secundário para a introdução de conteúdos referentes à promoção da igualdade género e de linguagem não sexista (Ligado ao PNVBG 1.3.).</w:t>
      </w:r>
    </w:p>
    <w:p w:rsidR="00C207D5" w:rsidRPr="00C90523" w:rsidRDefault="006568A3" w:rsidP="00C207D5">
      <w:pPr>
        <w:spacing w:after="120"/>
        <w:ind w:left="851" w:hanging="567"/>
        <w:jc w:val="both"/>
      </w:pPr>
      <w:r w:rsidRPr="006568A3">
        <w:t>3.1.2</w:t>
      </w:r>
      <w:r w:rsidRPr="006568A3">
        <w:tab/>
        <w:t>Integrar a disciplina sobre igualdade de género no curriculum dos cursos de formação profissional e dos cursos públicos ou privados de graduação de docentes e capacitação respectivos dos formadores de docentes (ligado ao PNVBG 1.5.).</w:t>
      </w:r>
    </w:p>
    <w:p w:rsidR="00C207D5" w:rsidRPr="00C90523" w:rsidRDefault="006568A3" w:rsidP="00C207D5">
      <w:pPr>
        <w:spacing w:after="120"/>
        <w:ind w:left="851" w:hanging="567"/>
        <w:jc w:val="both"/>
      </w:pPr>
      <w:r w:rsidRPr="006568A3">
        <w:t>3.1.3</w:t>
      </w:r>
      <w:r w:rsidRPr="006568A3">
        <w:tab/>
        <w:t>Formar e capacitar em igualdade de género para docentes e dirigentes de todos os níveis de educação, inclusive orientadores de infância (PNVBG 1.4).</w:t>
      </w:r>
    </w:p>
    <w:p w:rsidR="00C207D5" w:rsidRPr="00C90523" w:rsidRDefault="006568A3" w:rsidP="00C207D5">
      <w:pPr>
        <w:spacing w:after="120"/>
        <w:ind w:left="851" w:hanging="567"/>
        <w:jc w:val="both"/>
      </w:pPr>
      <w:r w:rsidRPr="006568A3">
        <w:t>3.2.1</w:t>
      </w:r>
      <w:r w:rsidRPr="006568A3">
        <w:tab/>
        <w:t>Garantir que os estudos em curso (insucesso escolar e o das crianças fora da escola) têm uma análise de género que permite informar estratégias que respondam às especificidades de rapazes e raparigas.</w:t>
      </w:r>
    </w:p>
    <w:p w:rsidR="00C207D5" w:rsidRPr="00C90523" w:rsidRDefault="006568A3" w:rsidP="00C207D5">
      <w:pPr>
        <w:spacing w:after="120"/>
        <w:ind w:left="851" w:hanging="567"/>
        <w:jc w:val="both"/>
      </w:pPr>
      <w:r w:rsidRPr="006568A3">
        <w:t>3.2.2</w:t>
      </w:r>
      <w:r w:rsidRPr="006568A3">
        <w:tab/>
        <w:t xml:space="preserve">Colher lições aprendidas sobre a abordagem do sucesso diferencial de rapazes e raparigas no ensino básico e secundário através da troca de experiências internacionais e introdução de novas estratégias. </w:t>
      </w:r>
    </w:p>
    <w:p w:rsidR="00C207D5" w:rsidRPr="00C90523" w:rsidRDefault="006568A3" w:rsidP="00C207D5">
      <w:pPr>
        <w:spacing w:after="120"/>
        <w:ind w:left="851" w:hanging="567"/>
        <w:jc w:val="both"/>
      </w:pPr>
      <w:r w:rsidRPr="006568A3">
        <w:t>3.2.3</w:t>
      </w:r>
      <w:r w:rsidRPr="006568A3">
        <w:tab/>
        <w:t>Implementar campanhas orientadas à comunidade educativa para prevenir o abandono escolar e inserção laboral precoce, em particular dos rapazes, respondendo diferenciadamente às especificidades de rapazes e raparigas.</w:t>
      </w:r>
    </w:p>
    <w:p w:rsidR="00C207D5" w:rsidRPr="00C90523" w:rsidRDefault="00C207D5" w:rsidP="00C207D5">
      <w:pPr>
        <w:pStyle w:val="Cabealho3"/>
        <w:spacing w:before="0" w:after="120"/>
      </w:pPr>
    </w:p>
    <w:p w:rsidR="00C207D5" w:rsidRPr="00C90523" w:rsidRDefault="006568A3" w:rsidP="00F54E8A">
      <w:pPr>
        <w:pStyle w:val="Cabealho2"/>
        <w:jc w:val="both"/>
        <w:rPr>
          <w:i/>
        </w:rPr>
      </w:pPr>
      <w:bookmarkStart w:id="83" w:name="_Toc406667302"/>
      <w:r w:rsidRPr="006568A3">
        <w:t>2.4.</w:t>
      </w:r>
      <w:r w:rsidRPr="006568A3">
        <w:tab/>
        <w:t xml:space="preserve">EIXO ESTRATÉGICO </w:t>
      </w:r>
      <w:r w:rsidRPr="006568A3">
        <w:rPr>
          <w:i/>
        </w:rPr>
        <w:t>ECONOMIA PRODUTIVA</w:t>
      </w:r>
      <w:r w:rsidR="009D7FAD">
        <w:rPr>
          <w:i/>
        </w:rPr>
        <w:t>.</w:t>
      </w:r>
      <w:bookmarkEnd w:id="83"/>
    </w:p>
    <w:p w:rsidR="00F54E8A" w:rsidRDefault="00F54E8A" w:rsidP="00F54E8A">
      <w:pPr>
        <w:spacing w:after="120"/>
        <w:jc w:val="both"/>
        <w:rPr>
          <w:b/>
          <w:i/>
          <w:sz w:val="24"/>
          <w:szCs w:val="24"/>
        </w:rPr>
      </w:pPr>
    </w:p>
    <w:p w:rsidR="00C207D5" w:rsidRPr="00C90523" w:rsidRDefault="006568A3" w:rsidP="00F54E8A">
      <w:pPr>
        <w:spacing w:after="120"/>
        <w:jc w:val="both"/>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4.1</w:t>
      </w:r>
      <w:r w:rsidRPr="006568A3">
        <w:tab/>
        <w:t>Oportunidades de empreendedorismo das mulheres melhoradas, numa perspectiva</w:t>
      </w:r>
      <w:r w:rsidR="00F54E8A">
        <w:t xml:space="preserve"> de empoderamento económico.</w:t>
      </w:r>
    </w:p>
    <w:p w:rsidR="00C207D5" w:rsidRPr="00C90523" w:rsidRDefault="006568A3" w:rsidP="00F54E8A">
      <w:pPr>
        <w:spacing w:after="120"/>
        <w:ind w:left="567" w:hanging="425"/>
        <w:jc w:val="both"/>
      </w:pPr>
      <w:r w:rsidRPr="006568A3">
        <w:t>4.2</w:t>
      </w:r>
      <w:r w:rsidRPr="006568A3">
        <w:tab/>
        <w:t>Maior conhecimento das jovens sobre as opções formativas de acordo com as necessidades do mercado de trabalho para promover a sua empregabilidade.</w:t>
      </w:r>
    </w:p>
    <w:p w:rsidR="00C207D5" w:rsidRPr="00C90523" w:rsidRDefault="006568A3" w:rsidP="00F54E8A">
      <w:pPr>
        <w:spacing w:after="120"/>
        <w:ind w:left="567" w:hanging="425"/>
        <w:jc w:val="both"/>
      </w:pPr>
      <w:r w:rsidRPr="006568A3">
        <w:t>4.3</w:t>
      </w:r>
      <w:r w:rsidRPr="006568A3">
        <w:tab/>
        <w:t>Melhoradas as condições para mudar às dinâmicas sociais e a descriminação que bloqueiam o acesso das mulheres, ao emprego digno</w:t>
      </w:r>
      <w:r w:rsidR="00F54E8A">
        <w:t>.</w:t>
      </w:r>
    </w:p>
    <w:p w:rsidR="00C207D5" w:rsidRPr="00C90523" w:rsidRDefault="006568A3" w:rsidP="00F54E8A">
      <w:pPr>
        <w:spacing w:after="120"/>
        <w:ind w:left="567" w:hanging="425"/>
        <w:jc w:val="both"/>
      </w:pPr>
      <w:r w:rsidRPr="006568A3">
        <w:t>4.4</w:t>
      </w:r>
      <w:r w:rsidRPr="006568A3">
        <w:tab/>
        <w:t>Aumentado o apoio às mulheres rurais e peri-urbanas no âmbito dos programas de luta contra a pobreza e melhoraria da segurança alimentar para a melhoria das condições de vida desde uma persp</w:t>
      </w:r>
      <w:r w:rsidR="00F54E8A">
        <w:t>ectiva de género.</w:t>
      </w:r>
    </w:p>
    <w:p w:rsidR="0025012D" w:rsidRPr="00C90523" w:rsidRDefault="0025012D" w:rsidP="00C207D5">
      <w:pPr>
        <w:spacing w:after="120"/>
        <w:ind w:left="567" w:hanging="425"/>
      </w:pPr>
    </w:p>
    <w:p w:rsidR="005B485B" w:rsidRDefault="005B485B">
      <w:pPr>
        <w:rPr>
          <w:b/>
          <w:i/>
          <w:sz w:val="24"/>
          <w:szCs w:val="24"/>
        </w:rPr>
      </w:pPr>
      <w:r>
        <w:rPr>
          <w:b/>
          <w:i/>
          <w:sz w:val="24"/>
          <w:szCs w:val="24"/>
        </w:rPr>
        <w:br w:type="page"/>
      </w:r>
    </w:p>
    <w:p w:rsidR="00C207D5" w:rsidRPr="00C90523" w:rsidRDefault="006568A3" w:rsidP="00C207D5">
      <w:pPr>
        <w:spacing w:after="120"/>
        <w:rPr>
          <w:b/>
          <w:i/>
          <w:sz w:val="24"/>
          <w:szCs w:val="24"/>
        </w:rPr>
      </w:pPr>
      <w:r w:rsidRPr="006568A3">
        <w:rPr>
          <w:b/>
          <w:i/>
          <w:sz w:val="24"/>
          <w:szCs w:val="24"/>
        </w:rPr>
        <w:t>Medidas estratégicas</w:t>
      </w:r>
    </w:p>
    <w:p w:rsidR="00C207D5" w:rsidRPr="00C90523" w:rsidRDefault="006568A3" w:rsidP="00C207D5">
      <w:pPr>
        <w:spacing w:after="120"/>
        <w:ind w:left="851" w:hanging="567"/>
        <w:jc w:val="both"/>
      </w:pPr>
      <w:r w:rsidRPr="006568A3">
        <w:t>4.1.1</w:t>
      </w:r>
      <w:r w:rsidRPr="006568A3">
        <w:tab/>
        <w:t>Realizar acções de formações/acompanhar o desenvolvimento de cadeia de valores numa perspectiva de género nas áreas de investimento identificadas no DECRP III (turismo, economias criativas, agronegócios, etc.) para a diversificação económica.</w:t>
      </w:r>
    </w:p>
    <w:p w:rsidR="00C207D5" w:rsidRPr="00C90523" w:rsidRDefault="006568A3" w:rsidP="00C207D5">
      <w:pPr>
        <w:spacing w:after="120"/>
        <w:ind w:left="851" w:hanging="567"/>
        <w:jc w:val="both"/>
      </w:pPr>
      <w:r w:rsidRPr="006568A3">
        <w:t>4.1.2</w:t>
      </w:r>
      <w:r w:rsidRPr="006568A3">
        <w:tab/>
        <w:t>Implementar medidas para que os programas de microcrédito, crédito e de promoção empresarial incluam serviços de apoio que permitam o desenvolvimento, crescimento e sustentabilidade do empreendedorismo das mulheres.</w:t>
      </w:r>
    </w:p>
    <w:p w:rsidR="00C207D5" w:rsidRPr="00C90523" w:rsidRDefault="006568A3" w:rsidP="00C207D5">
      <w:pPr>
        <w:spacing w:after="120"/>
        <w:ind w:left="851" w:hanging="567"/>
        <w:jc w:val="both"/>
      </w:pPr>
      <w:r w:rsidRPr="006568A3">
        <w:t>4.1.3</w:t>
      </w:r>
      <w:r w:rsidRPr="006568A3">
        <w:tab/>
        <w:t>Elaborar um diagnóstico das necessidades das mulheres, incluindo as rurais, envolvidas em programas de promoção do empreendedorismo em matéria de esforço e do tempo dedicado as tarefas dos cuidados e domésticas, e formulação de medidas para a sua redução.</w:t>
      </w:r>
    </w:p>
    <w:p w:rsidR="00C207D5" w:rsidRPr="00C90523" w:rsidRDefault="006568A3" w:rsidP="00C207D5">
      <w:pPr>
        <w:spacing w:after="120"/>
        <w:ind w:left="851" w:hanging="567"/>
        <w:jc w:val="both"/>
      </w:pPr>
      <w:r w:rsidRPr="006568A3">
        <w:t>4.2.1</w:t>
      </w:r>
      <w:r w:rsidRPr="006568A3">
        <w:tab/>
        <w:t>Elaborar uma análise das áreas com maior potencial de empregabilidade de mulheres e homens e ligar aos programas de orientação vocacional e profissional, numa perspectiva de diminuição da segregação do mercado de trabalho.</w:t>
      </w:r>
    </w:p>
    <w:p w:rsidR="00C207D5" w:rsidRPr="00C90523" w:rsidRDefault="006568A3" w:rsidP="00C207D5">
      <w:pPr>
        <w:spacing w:after="120"/>
        <w:ind w:left="851" w:hanging="567"/>
        <w:jc w:val="both"/>
      </w:pPr>
      <w:r w:rsidRPr="006568A3">
        <w:t>4.2.2</w:t>
      </w:r>
      <w:r w:rsidRPr="006568A3">
        <w:tab/>
        <w:t>Inserir nos programas de formação profissional com potencial de empregabilidade, atuais ou em desenvolvimento, medidas de acção afirmativa do acesso equilibrado das mulheres.</w:t>
      </w:r>
    </w:p>
    <w:p w:rsidR="006F23FE" w:rsidRPr="00C90523" w:rsidRDefault="006568A3" w:rsidP="00C207D5">
      <w:pPr>
        <w:spacing w:after="120"/>
        <w:ind w:left="851" w:hanging="567"/>
        <w:jc w:val="both"/>
      </w:pPr>
      <w:r w:rsidRPr="006568A3">
        <w:t>4.2.3 Desenvolver uma campanha de sensibilização visando às mulheres sobre a empregabilidade de áreas de ponta.</w:t>
      </w:r>
    </w:p>
    <w:p w:rsidR="00C207D5" w:rsidRPr="00C90523" w:rsidRDefault="006568A3" w:rsidP="00C207D5">
      <w:pPr>
        <w:spacing w:after="120"/>
        <w:ind w:left="851" w:hanging="567"/>
        <w:jc w:val="both"/>
      </w:pPr>
      <w:r w:rsidRPr="006568A3">
        <w:t>4.3.1</w:t>
      </w:r>
      <w:r w:rsidRPr="006568A3">
        <w:tab/>
        <w:t>Elaborar uma análise dos estereótipos de género e dinâmicas sociais, incluindo de descriminação na contratação, que impedem o acesso das mulheres ao emprego.</w:t>
      </w:r>
    </w:p>
    <w:p w:rsidR="00C207D5" w:rsidRPr="00C90523" w:rsidRDefault="006568A3" w:rsidP="00C207D5">
      <w:pPr>
        <w:spacing w:after="120"/>
        <w:ind w:left="851" w:hanging="567"/>
        <w:jc w:val="both"/>
      </w:pPr>
      <w:r w:rsidRPr="006568A3">
        <w:t>4.3.2</w:t>
      </w:r>
      <w:r w:rsidRPr="006568A3">
        <w:tab/>
        <w:t>Desenhar e implementar campanha de sensibilização orientadas aos empregadores com enfoque na redução dos estereótipos de género no mundo laboral.</w:t>
      </w:r>
    </w:p>
    <w:p w:rsidR="00861276" w:rsidRDefault="006568A3" w:rsidP="00C207D5">
      <w:pPr>
        <w:spacing w:after="120"/>
        <w:ind w:left="851" w:hanging="567"/>
        <w:jc w:val="both"/>
      </w:pPr>
      <w:r w:rsidRPr="006568A3">
        <w:t>4.4.1</w:t>
      </w:r>
      <w:r w:rsidRPr="006568A3">
        <w:tab/>
        <w:t>Elaborar uma caracterização do acesso à terra, à água à energia, ao crédito e aos serviços de micro-finan</w:t>
      </w:r>
      <w:r w:rsidR="00861276">
        <w:t>ç</w:t>
      </w:r>
      <w:r w:rsidRPr="006568A3">
        <w:t xml:space="preserve">as, das mulheres rurais e elaborar propostas de intervenção. </w:t>
      </w:r>
    </w:p>
    <w:p w:rsidR="00C207D5" w:rsidRPr="00C90523" w:rsidRDefault="006568A3" w:rsidP="00C207D5">
      <w:pPr>
        <w:spacing w:after="120"/>
        <w:ind w:left="851" w:hanging="567"/>
        <w:jc w:val="both"/>
      </w:pPr>
      <w:r w:rsidRPr="006568A3">
        <w:t>4.4.2</w:t>
      </w:r>
      <w:r w:rsidRPr="006568A3">
        <w:tab/>
        <w:t>Apoiar a realização de diagnósticos de género nas zonas de intervenção do Programa das Oportunidades Socioecon</w:t>
      </w:r>
      <w:r w:rsidR="00861276">
        <w:t>ó</w:t>
      </w:r>
      <w:r w:rsidRPr="006568A3">
        <w:t>micas Rurais (POSER) com vista a informar medidas de empoderamento socioeconómico das mulheres rurais.</w:t>
      </w:r>
    </w:p>
    <w:p w:rsidR="00C207D5" w:rsidRPr="00C90523" w:rsidRDefault="006568A3" w:rsidP="00C207D5">
      <w:pPr>
        <w:spacing w:after="120"/>
        <w:ind w:left="851" w:hanging="567"/>
        <w:jc w:val="both"/>
      </w:pPr>
      <w:r w:rsidRPr="006568A3">
        <w:t>4.4.3</w:t>
      </w:r>
      <w:r w:rsidRPr="006568A3">
        <w:tab/>
        <w:t>Analisar os constrangimentos de género na agricultura, tendo em conta a sua importância no contexto da segurança alimentar e implementação de medidas de apoio no quadro dos programas em curso (bacias hidrográficas, agronegócios, etc.).</w:t>
      </w:r>
    </w:p>
    <w:p w:rsidR="00C207D5" w:rsidRPr="00C90523" w:rsidRDefault="006568A3" w:rsidP="00C207D5">
      <w:pPr>
        <w:spacing w:after="120"/>
        <w:ind w:left="851" w:hanging="567"/>
        <w:jc w:val="both"/>
      </w:pPr>
      <w:r w:rsidRPr="006568A3">
        <w:t>4.4.4 Criar uma linha especial dentro do fundo de ambiente para projectos que visem ao desenho de alternativas económicas para as mulheres que não impliquem a exploração insustentável dos recursos naturais (reconversão de actividades tais como a apanha de areia, etc.).</w:t>
      </w:r>
    </w:p>
    <w:p w:rsidR="00C207D5" w:rsidRPr="00C90523" w:rsidRDefault="00C207D5" w:rsidP="00C207D5">
      <w:pPr>
        <w:spacing w:after="0"/>
        <w:rPr>
          <w:sz w:val="24"/>
          <w:szCs w:val="24"/>
        </w:rPr>
      </w:pPr>
    </w:p>
    <w:p w:rsidR="005B485B" w:rsidRDefault="005B485B">
      <w:pPr>
        <w:rPr>
          <w:rFonts w:asciiTheme="majorHAnsi" w:eastAsiaTheme="majorEastAsia" w:hAnsiTheme="majorHAnsi" w:cstheme="majorBidi"/>
          <w:b/>
          <w:bCs/>
          <w:color w:val="4F81BD" w:themeColor="accent1"/>
          <w:sz w:val="26"/>
          <w:szCs w:val="26"/>
        </w:rPr>
      </w:pPr>
      <w:r>
        <w:br w:type="page"/>
      </w:r>
    </w:p>
    <w:p w:rsidR="00C207D5" w:rsidRPr="00C90523" w:rsidRDefault="006568A3" w:rsidP="00601B77">
      <w:pPr>
        <w:pStyle w:val="Cabealho2"/>
      </w:pPr>
      <w:bookmarkStart w:id="84" w:name="_Toc406667303"/>
      <w:r w:rsidRPr="006568A3">
        <w:t>2.5.</w:t>
      </w:r>
      <w:r w:rsidRPr="006568A3">
        <w:tab/>
        <w:t xml:space="preserve">EIXO ESTRATÉGICO </w:t>
      </w:r>
      <w:r w:rsidRPr="006568A3">
        <w:rPr>
          <w:i/>
        </w:rPr>
        <w:t>ECONOMIA REPRODUTIVA</w:t>
      </w:r>
      <w:r w:rsidR="009D7FAD">
        <w:rPr>
          <w:i/>
        </w:rPr>
        <w:t>.</w:t>
      </w:r>
      <w:bookmarkEnd w:id="84"/>
      <w:r w:rsidRPr="006568A3">
        <w:t xml:space="preserve"> </w:t>
      </w:r>
    </w:p>
    <w:p w:rsidR="00601B77" w:rsidRPr="00C90523" w:rsidRDefault="00601B77" w:rsidP="00601B77">
      <w:pPr>
        <w:spacing w:after="0"/>
        <w:rPr>
          <w:b/>
          <w:i/>
          <w:sz w:val="24"/>
          <w:szCs w:val="24"/>
        </w:rPr>
      </w:pPr>
    </w:p>
    <w:p w:rsidR="00C207D5" w:rsidRPr="00C90523" w:rsidRDefault="006568A3" w:rsidP="00C207D5">
      <w:pPr>
        <w:spacing w:after="120"/>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5.1</w:t>
      </w:r>
      <w:r w:rsidRPr="006568A3">
        <w:tab/>
        <w:t>Um maior número de dados/estudos evidenciam a contribuição do trabalho não remunerado das mulhere</w:t>
      </w:r>
      <w:r w:rsidR="00F54E8A">
        <w:t>s para a economia e bem-estar.</w:t>
      </w:r>
    </w:p>
    <w:p w:rsidR="00C207D5" w:rsidRPr="00C90523" w:rsidRDefault="006568A3" w:rsidP="00F54E8A">
      <w:pPr>
        <w:spacing w:after="120"/>
        <w:ind w:left="567" w:hanging="425"/>
        <w:jc w:val="both"/>
      </w:pPr>
      <w:r w:rsidRPr="006568A3">
        <w:t>5.2</w:t>
      </w:r>
      <w:r w:rsidRPr="006568A3">
        <w:tab/>
        <w:t xml:space="preserve">Aumentada a compreensão da dimensão de pobreza de tempo como elemento que dificulta o acesso ao trabalho remunerado e as suas ligações à pobreza. </w:t>
      </w:r>
    </w:p>
    <w:p w:rsidR="00C207D5" w:rsidRPr="00C90523" w:rsidRDefault="006568A3" w:rsidP="00F54E8A">
      <w:pPr>
        <w:spacing w:after="120"/>
        <w:ind w:left="567" w:hanging="425"/>
        <w:jc w:val="both"/>
      </w:pPr>
      <w:r w:rsidRPr="006568A3">
        <w:t>5.3</w:t>
      </w:r>
      <w:r w:rsidRPr="006568A3">
        <w:tab/>
        <w:t>Medidas que contribuem para a redução do tempo e esforço gasto nas tarefas domésticas e de cuidados são c</w:t>
      </w:r>
      <w:r w:rsidR="00F54E8A">
        <w:t>riadas e implementadas.</w:t>
      </w:r>
    </w:p>
    <w:p w:rsidR="00C207D5" w:rsidRDefault="006568A3" w:rsidP="00F54E8A">
      <w:pPr>
        <w:spacing w:after="120"/>
        <w:ind w:left="567" w:hanging="425"/>
        <w:jc w:val="both"/>
      </w:pPr>
      <w:r w:rsidRPr="006568A3">
        <w:t>5.4</w:t>
      </w:r>
      <w:r w:rsidRPr="006568A3">
        <w:tab/>
        <w:t>Incrementar as medidas de apoio disponíveis para os agregados monoparentais em situação de pobreza que facilitem a conciliação entre o trabalho produtivo e reprodutivo.</w:t>
      </w:r>
    </w:p>
    <w:p w:rsidR="005B485B" w:rsidRPr="00C90523" w:rsidRDefault="005B485B" w:rsidP="00F54E8A">
      <w:pPr>
        <w:spacing w:after="120"/>
        <w:ind w:left="567" w:hanging="425"/>
        <w:jc w:val="both"/>
        <w:rPr>
          <w:sz w:val="24"/>
          <w:szCs w:val="24"/>
        </w:rPr>
      </w:pPr>
    </w:p>
    <w:p w:rsidR="00C207D5" w:rsidRPr="00C90523" w:rsidRDefault="006568A3" w:rsidP="00C207D5">
      <w:pPr>
        <w:spacing w:after="120"/>
        <w:rPr>
          <w:b/>
          <w:i/>
          <w:sz w:val="24"/>
          <w:szCs w:val="24"/>
        </w:rPr>
      </w:pPr>
      <w:r w:rsidRPr="006568A3">
        <w:rPr>
          <w:b/>
          <w:i/>
          <w:sz w:val="24"/>
          <w:szCs w:val="24"/>
        </w:rPr>
        <w:t>Medidas estratégicas</w:t>
      </w:r>
    </w:p>
    <w:p w:rsidR="00C207D5" w:rsidRPr="00C90523" w:rsidRDefault="006568A3" w:rsidP="00C207D5">
      <w:pPr>
        <w:spacing w:after="120"/>
        <w:ind w:left="851" w:hanging="567"/>
        <w:jc w:val="both"/>
      </w:pPr>
      <w:r w:rsidRPr="006568A3">
        <w:t>5.1.1</w:t>
      </w:r>
      <w:r w:rsidRPr="006568A3">
        <w:tab/>
        <w:t>Apoiar o desenvolvimento da metodologia para o cálculo da contribuição do trabalho não remunerado (TNR) para o PIB e a sua integração nas contas nacionais.</w:t>
      </w:r>
    </w:p>
    <w:p w:rsidR="00C207D5" w:rsidRPr="00C90523" w:rsidRDefault="006568A3" w:rsidP="00C207D5">
      <w:pPr>
        <w:spacing w:after="120"/>
        <w:ind w:left="851" w:hanging="567"/>
        <w:jc w:val="both"/>
      </w:pPr>
      <w:r w:rsidRPr="006568A3">
        <w:t>5.1.2</w:t>
      </w:r>
      <w:r w:rsidRPr="006568A3">
        <w:tab/>
        <w:t>Apoiar a elaboração de análises que evidenciem o retorno que investimentos focalizados na área dos cuidados podem ter (geração de emprego, produtividade, consumo, recursos tributários, redução dos gastos sociais a montante).</w:t>
      </w:r>
    </w:p>
    <w:p w:rsidR="00C207D5" w:rsidRPr="00C90523" w:rsidRDefault="006568A3" w:rsidP="00C207D5">
      <w:pPr>
        <w:spacing w:after="120"/>
        <w:ind w:left="851" w:hanging="567"/>
        <w:jc w:val="both"/>
      </w:pPr>
      <w:r w:rsidRPr="006568A3">
        <w:t>5.2.1</w:t>
      </w:r>
      <w:r w:rsidRPr="006568A3">
        <w:tab/>
        <w:t>Apoiar a aplicação da dimensão da pobreza de tempo ao cálculo da pobreza.</w:t>
      </w:r>
    </w:p>
    <w:p w:rsidR="00C207D5" w:rsidRPr="00C90523" w:rsidRDefault="006568A3" w:rsidP="00C207D5">
      <w:pPr>
        <w:spacing w:after="120"/>
        <w:ind w:left="851" w:hanging="567"/>
        <w:jc w:val="both"/>
      </w:pPr>
      <w:r w:rsidRPr="006568A3">
        <w:t>5.3.1</w:t>
      </w:r>
      <w:r w:rsidRPr="006568A3">
        <w:tab/>
        <w:t>Desenvolver medidas de sensibilização em relação a partilha das tarefas domésticas principalmente nas áreas rurais, como parte dos programas de formação e sensibilização de género das actividades de terreno (MDR, MJEDRH/POSER).</w:t>
      </w:r>
    </w:p>
    <w:p w:rsidR="00C207D5" w:rsidRPr="00C90523" w:rsidRDefault="006568A3" w:rsidP="00C207D5">
      <w:pPr>
        <w:spacing w:after="120"/>
        <w:ind w:left="851" w:hanging="567"/>
        <w:jc w:val="both"/>
      </w:pPr>
      <w:r w:rsidRPr="006568A3">
        <w:t>5.3.2</w:t>
      </w:r>
      <w:r w:rsidRPr="006568A3">
        <w:tab/>
        <w:t>Elaborar e implementar uma estratégia que permita que as infra-estruturas de saneamento básico contribuam para a redução do esforço e do tempo dedicado as tarefas domésticas.</w:t>
      </w:r>
    </w:p>
    <w:p w:rsidR="00C207D5" w:rsidRPr="00C90523" w:rsidRDefault="006568A3" w:rsidP="00C207D5">
      <w:pPr>
        <w:spacing w:after="120"/>
        <w:ind w:left="851" w:hanging="567"/>
        <w:jc w:val="both"/>
      </w:pPr>
      <w:r w:rsidRPr="006568A3">
        <w:t>5.3.3</w:t>
      </w:r>
      <w:r w:rsidRPr="006568A3">
        <w:tab/>
        <w:t>Implementar a estratégia de Energias Domesticas do PNED em relação a energia para cocção de forma sustentável e estudar outras formas das infra-estruturas de energia contribuírem para a redução do esforço e do tempo dedicado as tarefas domesticas.</w:t>
      </w:r>
    </w:p>
    <w:p w:rsidR="00C207D5" w:rsidRPr="00C90523" w:rsidRDefault="006568A3" w:rsidP="00C207D5">
      <w:pPr>
        <w:spacing w:after="120"/>
        <w:ind w:left="851" w:hanging="567"/>
        <w:jc w:val="both"/>
      </w:pPr>
      <w:r w:rsidRPr="006568A3">
        <w:t>5.3.4</w:t>
      </w:r>
      <w:r w:rsidRPr="006568A3">
        <w:tab/>
        <w:t>Elaborar cenários para fortalecer e ampliar as infra-estruturas e os serviços para apoio ao cuidado das crianças e das pessoas com necessidades de cuidados especiais com vista à elaboração de uma estratégia.</w:t>
      </w:r>
    </w:p>
    <w:p w:rsidR="00C207D5" w:rsidRPr="00C90523" w:rsidRDefault="006568A3" w:rsidP="00C207D5">
      <w:pPr>
        <w:spacing w:after="120"/>
        <w:ind w:left="851" w:hanging="567"/>
        <w:jc w:val="both"/>
      </w:pPr>
      <w:r w:rsidRPr="006568A3">
        <w:t>5.4.1</w:t>
      </w:r>
      <w:r w:rsidRPr="006568A3">
        <w:tab/>
        <w:t>Estabelecer um grupo de trabalho interministerial para a elaboração de um quadro conceptual para as políticas de inclusão social no âmbito das políticas socioeconómicas, que tenha em conta a conciliação entre o trabalho produtivo e reprodutivo.</w:t>
      </w:r>
    </w:p>
    <w:p w:rsidR="00C207D5" w:rsidRPr="00C90523" w:rsidRDefault="006568A3" w:rsidP="00C207D5">
      <w:pPr>
        <w:spacing w:after="120"/>
        <w:ind w:left="851" w:hanging="567"/>
        <w:jc w:val="both"/>
      </w:pPr>
      <w:r w:rsidRPr="006568A3">
        <w:t>5.4.2</w:t>
      </w:r>
      <w:r w:rsidRPr="006568A3">
        <w:tab/>
        <w:t>Analisar os programas de apoio social priorizados e propor/ acompanhar a implementação de medidas para que os mesmo incluam ações que facilitem a conciliação entre o trabalho produtivo e reprodutivo, particularmente para as famílias chefiadas por mulheres.</w:t>
      </w:r>
    </w:p>
    <w:p w:rsidR="00C207D5" w:rsidRPr="00C90523" w:rsidRDefault="006568A3" w:rsidP="00601B77">
      <w:pPr>
        <w:pStyle w:val="Cabealho2"/>
      </w:pPr>
      <w:bookmarkStart w:id="85" w:name="_Toc406667304"/>
      <w:r w:rsidRPr="006568A3">
        <w:t>2.6.</w:t>
      </w:r>
      <w:r w:rsidRPr="006568A3">
        <w:tab/>
        <w:t xml:space="preserve">EIXO ESTRATÉGICO </w:t>
      </w:r>
      <w:r w:rsidRPr="006568A3">
        <w:rPr>
          <w:i/>
        </w:rPr>
        <w:t>PARTICIPAÇÃO POLÍTICA E NAS ESFERAS DE TOMADA DE DECISÃO E COMUNICAÇÃO</w:t>
      </w:r>
      <w:r w:rsidR="009D7FAD">
        <w:rPr>
          <w:i/>
        </w:rPr>
        <w:t>.</w:t>
      </w:r>
      <w:bookmarkEnd w:id="85"/>
    </w:p>
    <w:p w:rsidR="00601B77" w:rsidRPr="00C90523" w:rsidRDefault="00601B77" w:rsidP="00601B77">
      <w:pPr>
        <w:spacing w:after="0"/>
        <w:rPr>
          <w:b/>
          <w:i/>
          <w:sz w:val="24"/>
          <w:szCs w:val="24"/>
        </w:rPr>
      </w:pPr>
    </w:p>
    <w:p w:rsidR="00C207D5" w:rsidRPr="00C90523" w:rsidRDefault="006568A3" w:rsidP="00F54E8A">
      <w:pPr>
        <w:spacing w:after="120"/>
        <w:jc w:val="both"/>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6.1</w:t>
      </w:r>
      <w:r w:rsidRPr="006568A3">
        <w:tab/>
        <w:t>Incrementada a participação das mulheres nos órgãos de decisão electivos nas próximas eleições nacionais e autárquicas.</w:t>
      </w:r>
      <w:r w:rsidRPr="006568A3">
        <w:tab/>
      </w:r>
    </w:p>
    <w:p w:rsidR="00C207D5" w:rsidRPr="00C90523" w:rsidRDefault="006568A3" w:rsidP="00F54E8A">
      <w:pPr>
        <w:spacing w:after="120"/>
        <w:ind w:left="567" w:hanging="425"/>
        <w:jc w:val="both"/>
      </w:pPr>
      <w:r w:rsidRPr="006568A3">
        <w:t>6.2</w:t>
      </w:r>
      <w:r w:rsidRPr="006568A3">
        <w:tab/>
        <w:t>Incrementada a participação das mulheres nos cargos de tomar de decisão na administração pública.</w:t>
      </w:r>
      <w:r w:rsidRPr="006568A3">
        <w:tab/>
      </w:r>
    </w:p>
    <w:p w:rsidR="00C207D5" w:rsidRPr="00C90523" w:rsidRDefault="006568A3" w:rsidP="00F54E8A">
      <w:pPr>
        <w:spacing w:after="120"/>
        <w:ind w:left="567" w:hanging="425"/>
        <w:jc w:val="both"/>
      </w:pPr>
      <w:r w:rsidRPr="006568A3">
        <w:t>6.3</w:t>
      </w:r>
      <w:r w:rsidRPr="006568A3">
        <w:tab/>
        <w:t>Aumentada a participação das mulheres nos cargos de decisão dos partidos políticos.</w:t>
      </w:r>
    </w:p>
    <w:p w:rsidR="00C207D5" w:rsidRPr="00C90523" w:rsidRDefault="006568A3" w:rsidP="00F54E8A">
      <w:pPr>
        <w:spacing w:after="120"/>
        <w:ind w:left="567" w:hanging="425"/>
        <w:jc w:val="both"/>
        <w:rPr>
          <w:b/>
          <w:i/>
          <w:sz w:val="24"/>
          <w:szCs w:val="24"/>
        </w:rPr>
      </w:pPr>
      <w:r w:rsidRPr="006568A3">
        <w:t>6.4</w:t>
      </w:r>
      <w:r w:rsidRPr="006568A3">
        <w:tab/>
        <w:t xml:space="preserve">Maior contribuição da comunicação social para a criação de um ambiente favorável à participação paritária de mulheres e homens na política. </w:t>
      </w:r>
      <w:r w:rsidRPr="006568A3">
        <w:rPr>
          <w:b/>
          <w:i/>
          <w:sz w:val="24"/>
          <w:szCs w:val="24"/>
        </w:rPr>
        <w:tab/>
      </w:r>
    </w:p>
    <w:p w:rsidR="00E9106E" w:rsidRPr="00C90523" w:rsidRDefault="00E9106E" w:rsidP="00C207D5">
      <w:pPr>
        <w:spacing w:after="120"/>
        <w:rPr>
          <w:b/>
          <w:i/>
          <w:sz w:val="24"/>
          <w:szCs w:val="24"/>
        </w:rPr>
      </w:pPr>
    </w:p>
    <w:p w:rsidR="00C207D5" w:rsidRPr="00C90523" w:rsidRDefault="006568A3" w:rsidP="00C207D5">
      <w:pPr>
        <w:spacing w:after="120"/>
        <w:rPr>
          <w:b/>
          <w:i/>
          <w:sz w:val="24"/>
          <w:szCs w:val="24"/>
        </w:rPr>
      </w:pPr>
      <w:r w:rsidRPr="006568A3">
        <w:rPr>
          <w:b/>
          <w:i/>
          <w:sz w:val="24"/>
          <w:szCs w:val="24"/>
        </w:rPr>
        <w:t>Medidas estratégicas</w:t>
      </w:r>
    </w:p>
    <w:p w:rsidR="00C207D5" w:rsidRPr="00C90523" w:rsidRDefault="006568A3" w:rsidP="00C207D5">
      <w:pPr>
        <w:spacing w:after="120"/>
        <w:ind w:left="851" w:hanging="567"/>
        <w:jc w:val="both"/>
      </w:pPr>
      <w:r w:rsidRPr="006568A3">
        <w:t>6.1.1</w:t>
      </w:r>
      <w:r w:rsidRPr="006568A3">
        <w:tab/>
        <w:t>Promover a elaboração/ revisão/ aprovação de medidas legislativas e regulamentares com vista à paridade na participação política das mulheres (Lei da Paridade, lei dos partidos políticos, código eleitoral e sua regulamentação).</w:t>
      </w:r>
    </w:p>
    <w:p w:rsidR="00C207D5" w:rsidRPr="00C90523" w:rsidRDefault="006568A3" w:rsidP="00C207D5">
      <w:pPr>
        <w:spacing w:after="120"/>
        <w:ind w:left="851" w:hanging="567"/>
        <w:jc w:val="both"/>
      </w:pPr>
      <w:r w:rsidRPr="006568A3">
        <w:t>6.1.2</w:t>
      </w:r>
      <w:r w:rsidRPr="006568A3">
        <w:tab/>
        <w:t xml:space="preserve">Sensibilizar aos órgãos nacionais e locais dos partidos políticos e líderes comunitários no domínio da participação paritária de mulheres e homens na política. </w:t>
      </w:r>
    </w:p>
    <w:p w:rsidR="00C207D5" w:rsidRPr="00C90523" w:rsidRDefault="006568A3" w:rsidP="00C207D5">
      <w:pPr>
        <w:spacing w:after="120"/>
        <w:ind w:left="851" w:hanging="567"/>
        <w:jc w:val="both"/>
      </w:pPr>
      <w:r w:rsidRPr="006568A3">
        <w:t>6.1.3</w:t>
      </w:r>
      <w:r w:rsidRPr="006568A3">
        <w:tab/>
        <w:t>Capacitar às mulheres em género, liderança para a participação na política, entre outros, com vista a aumentar o numero das potenciais candidatas.</w:t>
      </w:r>
    </w:p>
    <w:p w:rsidR="00C207D5" w:rsidRPr="00C90523" w:rsidRDefault="006568A3" w:rsidP="00C207D5">
      <w:pPr>
        <w:spacing w:after="120"/>
        <w:ind w:left="851" w:hanging="567"/>
        <w:jc w:val="both"/>
      </w:pPr>
      <w:r w:rsidRPr="006568A3">
        <w:t>6.2.1</w:t>
      </w:r>
      <w:r w:rsidRPr="006568A3">
        <w:tab/>
        <w:t>Promover mecanismos legais e administrativos que assegurem a participação das mulheres em cargos de tomada de decisão.</w:t>
      </w:r>
    </w:p>
    <w:p w:rsidR="00C207D5" w:rsidRPr="00C90523" w:rsidRDefault="006568A3" w:rsidP="00C207D5">
      <w:pPr>
        <w:spacing w:after="120"/>
        <w:ind w:left="851" w:hanging="567"/>
        <w:jc w:val="both"/>
      </w:pPr>
      <w:r w:rsidRPr="006568A3">
        <w:t>6.2.2</w:t>
      </w:r>
      <w:r w:rsidRPr="006568A3">
        <w:tab/>
        <w:t>Sensibilizar os decisores e as instituições para a importância de implementar as medidas que assegurem a participação das mulheres em cargos de tomada de decisão.</w:t>
      </w:r>
    </w:p>
    <w:p w:rsidR="00C207D5" w:rsidRPr="00C90523" w:rsidRDefault="006568A3" w:rsidP="002B5602">
      <w:pPr>
        <w:spacing w:after="120"/>
        <w:ind w:left="851" w:hanging="567"/>
        <w:jc w:val="both"/>
      </w:pPr>
      <w:r w:rsidRPr="006568A3">
        <w:t>6.2.3</w:t>
      </w:r>
      <w:r w:rsidRPr="006568A3">
        <w:tab/>
        <w:t>Reforçar os conhecimentos das mulheres sobre a participação nos cargos de tomada de decisão na administração pública exercício e a aplicação da lei de paridade (caso de ser aprovada).</w:t>
      </w:r>
    </w:p>
    <w:p w:rsidR="00C207D5" w:rsidRPr="00C90523" w:rsidRDefault="006568A3" w:rsidP="00C207D5">
      <w:pPr>
        <w:spacing w:after="120"/>
        <w:ind w:left="851" w:hanging="567"/>
        <w:jc w:val="both"/>
      </w:pPr>
      <w:r w:rsidRPr="006568A3">
        <w:t>6.3.1</w:t>
      </w:r>
      <w:r w:rsidRPr="006568A3">
        <w:tab/>
        <w:t>Integrar a paridade de género nos critérios de seleção de candidatos para os cargos dirigentes dos partidos políticos (regulamento) e adopção de medidas facilitadoras da participação das mulheres (horários, etc.)</w:t>
      </w:r>
    </w:p>
    <w:p w:rsidR="00C207D5" w:rsidRPr="00C90523" w:rsidRDefault="006568A3" w:rsidP="00C207D5">
      <w:pPr>
        <w:spacing w:after="120"/>
        <w:ind w:left="851" w:hanging="567"/>
        <w:jc w:val="both"/>
      </w:pPr>
      <w:r w:rsidRPr="006568A3">
        <w:t>6.3.2</w:t>
      </w:r>
      <w:r w:rsidRPr="006568A3">
        <w:tab/>
        <w:t>Sensibilizar aos militantes de base e dirigentes para apoiar medidas que permitam incrementar a participação das mulheres nos cargos de decisão dos partidos políticos.</w:t>
      </w:r>
    </w:p>
    <w:p w:rsidR="00C207D5" w:rsidRPr="00C90523" w:rsidRDefault="006568A3" w:rsidP="00C207D5">
      <w:pPr>
        <w:spacing w:after="120"/>
        <w:ind w:left="851" w:hanging="567"/>
        <w:jc w:val="both"/>
      </w:pPr>
      <w:r w:rsidRPr="006568A3">
        <w:t>6.4.1</w:t>
      </w:r>
      <w:r w:rsidRPr="006568A3">
        <w:tab/>
        <w:t>Adoptar medidas para que os meios de comunicação social favoreçam a igualdade de género, eliminando os estereótipos sexistas ou discriminatórios (adaptado de PNVBG 1.7).</w:t>
      </w:r>
    </w:p>
    <w:p w:rsidR="00C207D5" w:rsidRPr="00C90523" w:rsidRDefault="006568A3" w:rsidP="00C207D5">
      <w:pPr>
        <w:spacing w:after="120"/>
        <w:ind w:left="851" w:hanging="567"/>
        <w:jc w:val="both"/>
      </w:pPr>
      <w:r w:rsidRPr="006568A3">
        <w:t>6.4.2</w:t>
      </w:r>
      <w:r w:rsidRPr="006568A3">
        <w:tab/>
        <w:t>Adoptar uma agenda de comunicação social para promover a igualdade de género e participação paritária das mulheres nos processos electorais e reforço das capacidades dos jornalistas para o efeito.</w:t>
      </w:r>
    </w:p>
    <w:p w:rsidR="00C207D5" w:rsidRPr="00C90523" w:rsidRDefault="006568A3" w:rsidP="00F54E8A">
      <w:pPr>
        <w:pStyle w:val="Cabealho2"/>
        <w:jc w:val="both"/>
      </w:pPr>
      <w:bookmarkStart w:id="86" w:name="_Toc406667305"/>
      <w:r w:rsidRPr="006568A3">
        <w:t>2.7.</w:t>
      </w:r>
      <w:r w:rsidRPr="006568A3">
        <w:tab/>
        <w:t xml:space="preserve">EIXO ESTRATÉGICO </w:t>
      </w:r>
      <w:r w:rsidRPr="006568A3">
        <w:rPr>
          <w:i/>
        </w:rPr>
        <w:t>REFORÇO INSTITUCIONAL</w:t>
      </w:r>
      <w:r w:rsidRPr="006568A3">
        <w:t xml:space="preserve"> </w:t>
      </w:r>
      <w:r w:rsidRPr="006568A3">
        <w:rPr>
          <w:i/>
        </w:rPr>
        <w:t>PARA A INTEGRAÇÃO DA ABORDAGEM DE GÉNERO NAS POLÍTICAS PÚBLICAS</w:t>
      </w:r>
      <w:r w:rsidR="009D7FAD">
        <w:rPr>
          <w:i/>
        </w:rPr>
        <w:t>.</w:t>
      </w:r>
      <w:bookmarkEnd w:id="86"/>
    </w:p>
    <w:p w:rsidR="00D20A0E" w:rsidRPr="00C90523" w:rsidRDefault="00D20A0E" w:rsidP="00F54E8A">
      <w:pPr>
        <w:spacing w:after="0"/>
        <w:jc w:val="both"/>
        <w:rPr>
          <w:b/>
          <w:i/>
          <w:sz w:val="24"/>
          <w:szCs w:val="24"/>
        </w:rPr>
      </w:pPr>
    </w:p>
    <w:p w:rsidR="00C207D5" w:rsidRPr="00C90523" w:rsidRDefault="006568A3" w:rsidP="00F54E8A">
      <w:pPr>
        <w:spacing w:after="120"/>
        <w:jc w:val="both"/>
        <w:rPr>
          <w:b/>
          <w:i/>
          <w:sz w:val="24"/>
          <w:szCs w:val="24"/>
        </w:rPr>
      </w:pPr>
      <w:r w:rsidRPr="006568A3">
        <w:rPr>
          <w:b/>
          <w:i/>
          <w:sz w:val="24"/>
          <w:szCs w:val="24"/>
        </w:rPr>
        <w:t>Resultados esperados</w:t>
      </w:r>
    </w:p>
    <w:p w:rsidR="00C207D5" w:rsidRPr="00C90523" w:rsidRDefault="006568A3" w:rsidP="00F54E8A">
      <w:pPr>
        <w:spacing w:after="120"/>
        <w:ind w:left="567" w:hanging="425"/>
        <w:jc w:val="both"/>
      </w:pPr>
      <w:r w:rsidRPr="006568A3">
        <w:t>7.1</w:t>
      </w:r>
      <w:r w:rsidRPr="006568A3">
        <w:tab/>
        <w:t>A produção estatística permite uma análise mais aprofundada  e maior divulgação da situação de género em Cabo Verde e o desenvolvimento de pesquisa, operacional e académica, em particular em relação a indicadores económicos, à caracterização da situação de grupos específicos de mulheres (e.g. mulheres com deficiência, mulheres rurais, pobreza).</w:t>
      </w:r>
      <w:r w:rsidRPr="006568A3">
        <w:tab/>
      </w:r>
    </w:p>
    <w:p w:rsidR="00C207D5" w:rsidRPr="00C90523" w:rsidRDefault="006568A3" w:rsidP="00F54E8A">
      <w:pPr>
        <w:spacing w:after="120"/>
        <w:ind w:left="567" w:hanging="425"/>
        <w:jc w:val="both"/>
      </w:pPr>
      <w:r w:rsidRPr="006568A3">
        <w:t>7.2</w:t>
      </w:r>
      <w:r w:rsidRPr="006568A3">
        <w:tab/>
        <w:t>Maior institucionalização da abordagem de género nos processo de planificação e orçamentação.</w:t>
      </w:r>
      <w:r w:rsidRPr="006568A3">
        <w:tab/>
      </w:r>
    </w:p>
    <w:p w:rsidR="00C207D5" w:rsidRPr="00C90523" w:rsidRDefault="006568A3" w:rsidP="00F54E8A">
      <w:pPr>
        <w:spacing w:after="120"/>
        <w:ind w:left="567" w:hanging="425"/>
        <w:jc w:val="both"/>
      </w:pPr>
      <w:r w:rsidRPr="006568A3">
        <w:t>7.3</w:t>
      </w:r>
      <w:r w:rsidRPr="006568A3">
        <w:tab/>
        <w:t>Maior visibilidade das ligações entre as questões de igualdade de género e as políticas macroeconómicas e o desenvolvimento em Cabo Verde.</w:t>
      </w:r>
      <w:r w:rsidRPr="006568A3">
        <w:tab/>
      </w:r>
    </w:p>
    <w:p w:rsidR="00C207D5" w:rsidRPr="00C90523" w:rsidRDefault="006568A3" w:rsidP="00F54E8A">
      <w:pPr>
        <w:spacing w:after="120"/>
        <w:ind w:left="567" w:hanging="425"/>
        <w:jc w:val="both"/>
      </w:pPr>
      <w:r w:rsidRPr="006568A3">
        <w:t>7.4</w:t>
      </w:r>
      <w:r w:rsidRPr="006568A3">
        <w:tab/>
        <w:t>ICIEG com maior capacidade institucional de atuação e coordenação visando a promoção da igualdade de género.</w:t>
      </w:r>
      <w:r w:rsidRPr="006568A3">
        <w:tab/>
      </w:r>
    </w:p>
    <w:p w:rsidR="00E9106E" w:rsidRPr="009D7FAD" w:rsidRDefault="006568A3" w:rsidP="009D7FAD">
      <w:pPr>
        <w:spacing w:after="120"/>
        <w:ind w:left="567" w:hanging="425"/>
        <w:jc w:val="both"/>
      </w:pPr>
      <w:r w:rsidRPr="006568A3">
        <w:t>7.5</w:t>
      </w:r>
      <w:r w:rsidRPr="006568A3">
        <w:tab/>
        <w:t>Melhoramento do quadro legal e regulamentar cabo-verdiano para integrar os direitos humanos das mulheres e promover a igualdade de género.</w:t>
      </w:r>
    </w:p>
    <w:p w:rsidR="00C207D5" w:rsidRPr="00C90523" w:rsidRDefault="006568A3" w:rsidP="00F54E8A">
      <w:pPr>
        <w:spacing w:after="120"/>
        <w:jc w:val="both"/>
        <w:rPr>
          <w:b/>
          <w:i/>
          <w:sz w:val="24"/>
          <w:szCs w:val="24"/>
        </w:rPr>
      </w:pPr>
      <w:r w:rsidRPr="006568A3">
        <w:rPr>
          <w:b/>
          <w:i/>
          <w:sz w:val="24"/>
          <w:szCs w:val="24"/>
        </w:rPr>
        <w:t>Medidas estratégicas</w:t>
      </w:r>
    </w:p>
    <w:p w:rsidR="00C207D5" w:rsidRPr="00C90523" w:rsidRDefault="006568A3" w:rsidP="00F54E8A">
      <w:pPr>
        <w:spacing w:after="120"/>
        <w:ind w:left="851" w:hanging="567"/>
        <w:jc w:val="both"/>
      </w:pPr>
      <w:r w:rsidRPr="006568A3">
        <w:t>7.1.1</w:t>
      </w:r>
      <w:r w:rsidRPr="006568A3">
        <w:tab/>
        <w:t>Produzir e divulgar dados em falta sobre a situação de homens e mulheres, em particular no que diz respeito ao domínio económico, tais como o acesso ao crédito e aos serviços de micro-finanças, desigualdade salarial, propriedade da terra, entre outros) incluindo as informações sobre o sector informal.</w:t>
      </w:r>
    </w:p>
    <w:p w:rsidR="00C207D5" w:rsidRPr="00C90523" w:rsidRDefault="006568A3" w:rsidP="00F54E8A">
      <w:pPr>
        <w:spacing w:after="120"/>
        <w:ind w:left="851" w:hanging="567"/>
        <w:jc w:val="both"/>
      </w:pPr>
      <w:r w:rsidRPr="006568A3">
        <w:t>7.1.2</w:t>
      </w:r>
      <w:r w:rsidRPr="006568A3">
        <w:tab/>
        <w:t xml:space="preserve">Identificar operações estatísticas regulares chaves e acompanhar a integração da abordagem de género e a desagregação dos dados, tendo em conta as suas várias etapas, desde a concepção até ao tratamento, análise e divulgação dos dados. </w:t>
      </w:r>
    </w:p>
    <w:p w:rsidR="00C207D5" w:rsidRPr="00C90523" w:rsidRDefault="006568A3" w:rsidP="00F54E8A">
      <w:pPr>
        <w:spacing w:after="120"/>
        <w:ind w:left="851" w:hanging="567"/>
        <w:jc w:val="both"/>
      </w:pPr>
      <w:r w:rsidRPr="006568A3">
        <w:t>7.1.3</w:t>
      </w:r>
      <w:r w:rsidRPr="006568A3">
        <w:tab/>
        <w:t>Elaborar análises que permitam uma adequada caracterização de grupos de mulheres em situação de particular desvantagem, nomeadamente mulheres em situação de pobreza, mulheres rurais, mulheres com deficiência.</w:t>
      </w:r>
    </w:p>
    <w:p w:rsidR="00C207D5" w:rsidRPr="00C90523" w:rsidRDefault="006568A3" w:rsidP="00F54E8A">
      <w:pPr>
        <w:spacing w:after="120"/>
        <w:ind w:left="851" w:hanging="567"/>
        <w:jc w:val="both"/>
      </w:pPr>
      <w:r w:rsidRPr="006568A3">
        <w:t>7.1.4</w:t>
      </w:r>
      <w:r w:rsidRPr="006568A3">
        <w:tab/>
        <w:t xml:space="preserve">Articular </w:t>
      </w:r>
      <w:r w:rsidR="00802644">
        <w:rPr>
          <w:rFonts w:ascii="Calibri" w:eastAsia="Times New Roman" w:hAnsi="Calibri" w:cs="Times New Roman"/>
          <w:sz w:val="20"/>
          <w:szCs w:val="20"/>
          <w:lang w:eastAsia="es-ES"/>
        </w:rPr>
        <w:t xml:space="preserve">entre ICIEG, INE e </w:t>
      </w:r>
      <w:r w:rsidR="00802644" w:rsidRPr="006568A3">
        <w:rPr>
          <w:rFonts w:ascii="Calibri" w:eastAsia="Times New Roman" w:hAnsi="Calibri" w:cs="Times New Roman"/>
          <w:sz w:val="20"/>
          <w:szCs w:val="20"/>
          <w:lang w:eastAsia="es-ES"/>
        </w:rPr>
        <w:t xml:space="preserve">a academia </w:t>
      </w:r>
      <w:r w:rsidRPr="006568A3">
        <w:t>para a realização de estudos e análises, operacionais e académicas, voltadas para as várias temáticas no domínio da igualdade de género, entre as quais o aprofundamento da reflexão sobre a estrutura familiar em Cabo Verde.</w:t>
      </w:r>
    </w:p>
    <w:p w:rsidR="00C207D5" w:rsidRPr="00C90523" w:rsidRDefault="006568A3" w:rsidP="00F54E8A">
      <w:pPr>
        <w:spacing w:after="120"/>
        <w:ind w:left="851" w:hanging="567"/>
        <w:jc w:val="both"/>
      </w:pPr>
      <w:r w:rsidRPr="006568A3">
        <w:t>7.1.5</w:t>
      </w:r>
      <w:r w:rsidRPr="006568A3">
        <w:tab/>
        <w:t>Fortalecer o Observatório da Igualdade de Género e SNIG como forma de melhorar o acesso aos dados e às análises pelos vários intervenientes.</w:t>
      </w:r>
    </w:p>
    <w:p w:rsidR="00C207D5" w:rsidRPr="00C90523" w:rsidRDefault="006568A3" w:rsidP="00F54E8A">
      <w:pPr>
        <w:spacing w:after="120"/>
        <w:ind w:left="851" w:hanging="567"/>
        <w:jc w:val="both"/>
      </w:pPr>
      <w:r w:rsidRPr="006568A3">
        <w:t>7.2.1</w:t>
      </w:r>
      <w:r w:rsidRPr="006568A3">
        <w:tab/>
        <w:t xml:space="preserve">Elaborar análises do Orçamento Geral do Estado numa perspectiva de género e de recomendações para a sua discussão/aprovação. </w:t>
      </w:r>
    </w:p>
    <w:p w:rsidR="00C207D5" w:rsidRPr="00C90523" w:rsidRDefault="006568A3" w:rsidP="00F54E8A">
      <w:pPr>
        <w:spacing w:after="120"/>
        <w:ind w:left="851" w:hanging="567"/>
        <w:jc w:val="both"/>
      </w:pPr>
      <w:r w:rsidRPr="006568A3">
        <w:t>7.2.2</w:t>
      </w:r>
      <w:r w:rsidRPr="006568A3">
        <w:tab/>
        <w:t>Propor e advogar pela aprovação de normativas no Lei de Base do Orçamento relativas à planificação e orçamentação sensível ao género.</w:t>
      </w:r>
    </w:p>
    <w:p w:rsidR="004E0ABF" w:rsidRPr="00C90523" w:rsidRDefault="006568A3" w:rsidP="00F54E8A">
      <w:pPr>
        <w:spacing w:after="120"/>
        <w:ind w:left="851" w:hanging="567"/>
        <w:jc w:val="both"/>
      </w:pPr>
      <w:r w:rsidRPr="006568A3">
        <w:t>7.2.3</w:t>
      </w:r>
      <w:r w:rsidRPr="006568A3">
        <w:tab/>
        <w:t>Inserir nas normativas e directrizes anuais e instrumentos de planeamento e orçamentação (quadros lógicos dos programas e projectos, códigos e classificadores orçamentários, etc.) propostas para garantir a efectiva transversalidade de género no orçamento do estado e a inclusão das medidas para implementação do PNIG e do PNVBG de responsabilidade dos diferentes sectores</w:t>
      </w:r>
      <w:r w:rsidR="009D7FAD">
        <w:t>.</w:t>
      </w:r>
    </w:p>
    <w:p w:rsidR="00C207D5" w:rsidRPr="00C90523" w:rsidRDefault="006568A3" w:rsidP="00F54E8A">
      <w:pPr>
        <w:spacing w:after="120"/>
        <w:ind w:left="851" w:hanging="567"/>
        <w:jc w:val="both"/>
      </w:pPr>
      <w:r w:rsidRPr="006568A3">
        <w:t>7.2.4</w:t>
      </w:r>
      <w:r w:rsidRPr="006568A3">
        <w:tab/>
        <w:t>Capacitar e acompanhar em matéria de integração da abordagem de género para a aplicação dos instrumentos de planeamento e orçamentação sens</w:t>
      </w:r>
      <w:r w:rsidR="00861276">
        <w:t>í</w:t>
      </w:r>
      <w:r w:rsidRPr="006568A3">
        <w:t xml:space="preserve">vel ao género  (POSG) e implementação de auditorias de géneros em sectores selecionados. </w:t>
      </w:r>
    </w:p>
    <w:p w:rsidR="00D12E6B" w:rsidRPr="00C90523" w:rsidRDefault="006568A3" w:rsidP="00F54E8A">
      <w:pPr>
        <w:spacing w:after="120"/>
        <w:ind w:left="851" w:hanging="567"/>
        <w:jc w:val="both"/>
      </w:pPr>
      <w:r w:rsidRPr="006568A3">
        <w:t>7.2.5</w:t>
      </w:r>
      <w:r w:rsidRPr="006568A3">
        <w:tab/>
        <w:t>Integrar na formação dos quadros para administração publica um modulo de capacitação em género e planeamento e orçamento na perspectiva de género e o seu reconhecimento nas medidas de incentivos para a promoção na carreira na administração pública.</w:t>
      </w:r>
    </w:p>
    <w:p w:rsidR="00D12E6B" w:rsidRPr="00C90523" w:rsidRDefault="006568A3" w:rsidP="00F54E8A">
      <w:pPr>
        <w:spacing w:after="120"/>
        <w:ind w:left="851" w:hanging="567"/>
        <w:jc w:val="both"/>
      </w:pPr>
      <w:r w:rsidRPr="006568A3">
        <w:t>7.2.6</w:t>
      </w:r>
      <w:r w:rsidRPr="006568A3">
        <w:tab/>
        <w:t>Apoiar a integração de indicadores desagregado pelo sexo e indicadores de género nos quadros lógicos dos programas do DECRP III (revisão a meio percurso) e acompanhar a integração da abordagem de género na sua avaliação final e na formulação do novo plano de desenvolvimento estratégico.</w:t>
      </w:r>
    </w:p>
    <w:p w:rsidR="00C207D5" w:rsidRPr="00C90523" w:rsidRDefault="006568A3" w:rsidP="00F54E8A">
      <w:pPr>
        <w:spacing w:after="120"/>
        <w:ind w:left="851" w:hanging="567"/>
        <w:jc w:val="both"/>
      </w:pPr>
      <w:r w:rsidRPr="006568A3">
        <w:t>7.3.1</w:t>
      </w:r>
      <w:r w:rsidRPr="006568A3">
        <w:tab/>
        <w:t>Capacitar aos decisores, técnicos do sistema de planificação e academia sobre políticas económicas numa perspectiva de género (análise económica, análise das políticas, redução da pobreza, emprego, macroeconomia, comércio, fiscalidade, orçamento).</w:t>
      </w:r>
    </w:p>
    <w:p w:rsidR="00C207D5" w:rsidRPr="00C90523" w:rsidRDefault="006568A3" w:rsidP="00F54E8A">
      <w:pPr>
        <w:spacing w:after="120"/>
        <w:ind w:left="851" w:hanging="567"/>
        <w:jc w:val="both"/>
      </w:pPr>
      <w:r w:rsidRPr="006568A3">
        <w:t>7.3.2</w:t>
      </w:r>
      <w:r w:rsidRPr="006568A3">
        <w:tab/>
        <w:t xml:space="preserve">Acompanhar a discussão a nível nacional sobre o quadro de desenvolvimento para o pós-2015 (objectivos de desenvolvimento sustentáveis – ODS), apoiar a apropriação da igualdade de género como uma questão de desenvolvimento e sua inserção no quadro das políticas macro. </w:t>
      </w:r>
    </w:p>
    <w:p w:rsidR="00C207D5" w:rsidRPr="00C90523" w:rsidRDefault="006568A3" w:rsidP="00F54E8A">
      <w:pPr>
        <w:spacing w:after="120"/>
        <w:ind w:left="851" w:hanging="567"/>
        <w:jc w:val="both"/>
      </w:pPr>
      <w:r w:rsidRPr="006568A3">
        <w:t>7.4.1</w:t>
      </w:r>
      <w:r w:rsidRPr="006568A3">
        <w:tab/>
        <w:t xml:space="preserve">Garantir as capacidades técnicas e financeiras do mecanismo nacional para a igualdade de género para o cumprimento do seu mandato na promoção da igualdade de direitos entre mulheres e homens, e a efetiva e visível participação das mulheres em todos os âmbitos da vida social, económica e política do país. </w:t>
      </w:r>
    </w:p>
    <w:p w:rsidR="00C207D5" w:rsidRPr="00C90523" w:rsidRDefault="006568A3" w:rsidP="00F54E8A">
      <w:pPr>
        <w:spacing w:after="120"/>
        <w:ind w:left="851" w:hanging="567"/>
        <w:jc w:val="both"/>
      </w:pPr>
      <w:r w:rsidRPr="006568A3">
        <w:t>7.4.2</w:t>
      </w:r>
      <w:r w:rsidRPr="006568A3">
        <w:tab/>
        <w:t>Elaborar cenários para o desenvolvimento institucional do mecanismo para a igualdade de género no contexto da reforma da administração pública em curso.</w:t>
      </w:r>
    </w:p>
    <w:p w:rsidR="00C207D5" w:rsidRPr="00C90523" w:rsidRDefault="006568A3" w:rsidP="00F54E8A">
      <w:pPr>
        <w:spacing w:after="120"/>
        <w:ind w:left="851" w:hanging="567"/>
        <w:jc w:val="both"/>
      </w:pPr>
      <w:r w:rsidRPr="006568A3">
        <w:t>7.4.3</w:t>
      </w:r>
      <w:r w:rsidRPr="006568A3">
        <w:tab/>
        <w:t>Coordenar e acompanhar a implementação do PNIG incluindo o plano de seguimento e avaliação.</w:t>
      </w:r>
    </w:p>
    <w:p w:rsidR="00C207D5" w:rsidRPr="00C90523" w:rsidRDefault="006568A3" w:rsidP="00F54E8A">
      <w:pPr>
        <w:spacing w:after="120"/>
        <w:ind w:left="851" w:hanging="567"/>
        <w:jc w:val="both"/>
      </w:pPr>
      <w:r w:rsidRPr="006568A3">
        <w:t>7.4.4</w:t>
      </w:r>
      <w:r w:rsidRPr="006568A3">
        <w:tab/>
        <w:t xml:space="preserve">Desenhar e implementar uma estratégia de mobilização de recursos para a implementação do PNIG, que tenha em conta as modalidades de cooperação para o desenvolvimento a que Cabo Verde pode ter acesso, e as identificar potenciais fontes nacionais de financiamento. </w:t>
      </w:r>
    </w:p>
    <w:p w:rsidR="00C207D5" w:rsidRPr="00C90523" w:rsidRDefault="006568A3" w:rsidP="00F54E8A">
      <w:pPr>
        <w:spacing w:after="120"/>
        <w:ind w:left="851" w:hanging="567"/>
        <w:jc w:val="both"/>
      </w:pPr>
      <w:r w:rsidRPr="006568A3">
        <w:t>7.4.5</w:t>
      </w:r>
      <w:r w:rsidRPr="006568A3">
        <w:tab/>
        <w:t>Formular um programa para o reforço das capacidades a nível local para o desenho e implementação de políticas de igualdade de género a nível municipal.</w:t>
      </w:r>
    </w:p>
    <w:p w:rsidR="00F0263E" w:rsidRPr="00C90523" w:rsidRDefault="006568A3" w:rsidP="00F54E8A">
      <w:pPr>
        <w:spacing w:after="120"/>
        <w:ind w:left="851" w:hanging="567"/>
        <w:jc w:val="both"/>
      </w:pPr>
      <w:r w:rsidRPr="006568A3">
        <w:t>7.5.1</w:t>
      </w:r>
      <w:r w:rsidRPr="006568A3">
        <w:tab/>
        <w:t>Promover a elaboração/revisão/aprovação de medidas legislativas e regulamentares em áreas chave para promover os direitos humanos das mulheres e a igualdade de género, tais como a regulamentação da lei VBG, licença de maternidade e paternidade, princípio de pago igual por trabalho igual no código laboral, regulamentação da lei IVG, entre outros.</w:t>
      </w:r>
    </w:p>
    <w:p w:rsidR="005202AB" w:rsidRPr="00C90523" w:rsidRDefault="005202AB" w:rsidP="00F54E8A">
      <w:pPr>
        <w:spacing w:after="120"/>
        <w:ind w:left="851" w:hanging="567"/>
        <w:jc w:val="both"/>
        <w:sectPr w:rsidR="005202AB" w:rsidRPr="00C90523" w:rsidSect="00601B77">
          <w:pgSz w:w="11906" w:h="17338"/>
          <w:pgMar w:top="1417" w:right="1701" w:bottom="1417" w:left="1701" w:header="720" w:footer="720" w:gutter="0"/>
          <w:cols w:space="720"/>
          <w:noEndnote/>
          <w:titlePg/>
          <w:docGrid w:linePitch="299"/>
        </w:sectPr>
      </w:pPr>
    </w:p>
    <w:p w:rsidR="008331D8" w:rsidRPr="00C90523" w:rsidRDefault="006568A3" w:rsidP="000F1F33">
      <w:pPr>
        <w:pStyle w:val="Cabealho1"/>
      </w:pPr>
      <w:bookmarkStart w:id="87" w:name="_Toc406667306"/>
      <w:r w:rsidRPr="006568A3">
        <w:t>3 QUADRO INSTITUCIONAL DE INTERVENÇÃO, COORDENAÇÃO E DE PARCERIA</w:t>
      </w:r>
      <w:bookmarkEnd w:id="87"/>
    </w:p>
    <w:p w:rsidR="00F831A4" w:rsidRPr="00C90523" w:rsidRDefault="00F831A4" w:rsidP="00606AE2">
      <w:pPr>
        <w:spacing w:after="0"/>
        <w:rPr>
          <w:b/>
          <w:sz w:val="24"/>
          <w:szCs w:val="24"/>
        </w:rPr>
      </w:pPr>
      <w:bookmarkStart w:id="88" w:name="_Toc402358467"/>
    </w:p>
    <w:tbl>
      <w:tblPr>
        <w:tblW w:w="16443" w:type="dxa"/>
        <w:tblInd w:w="70" w:type="dxa"/>
        <w:tblCellMar>
          <w:left w:w="70" w:type="dxa"/>
          <w:right w:w="70" w:type="dxa"/>
        </w:tblCellMar>
        <w:tblLook w:val="04A0" w:firstRow="1" w:lastRow="0" w:firstColumn="1" w:lastColumn="0" w:noHBand="0" w:noVBand="1"/>
      </w:tblPr>
      <w:tblGrid>
        <w:gridCol w:w="460"/>
        <w:gridCol w:w="2080"/>
        <w:gridCol w:w="660"/>
        <w:gridCol w:w="3604"/>
        <w:gridCol w:w="1438"/>
        <w:gridCol w:w="1340"/>
        <w:gridCol w:w="2184"/>
        <w:gridCol w:w="2099"/>
        <w:gridCol w:w="2578"/>
      </w:tblGrid>
      <w:tr w:rsidR="00F831A4" w:rsidRPr="00C90523" w:rsidTr="007D2440">
        <w:trPr>
          <w:trHeight w:val="300"/>
          <w:tblHeader/>
        </w:trPr>
        <w:tc>
          <w:tcPr>
            <w:tcW w:w="16443" w:type="dxa"/>
            <w:gridSpan w:val="9"/>
            <w:tcBorders>
              <w:top w:val="nil"/>
              <w:left w:val="nil"/>
              <w:bottom w:val="single" w:sz="4" w:space="0" w:color="000000"/>
              <w:right w:val="nil"/>
            </w:tcBorders>
            <w:shd w:val="clear" w:color="auto" w:fill="auto"/>
            <w:noWrap/>
            <w:vAlign w:val="bottom"/>
            <w:hideMark/>
          </w:tcPr>
          <w:p w:rsidR="00F831A4" w:rsidRPr="00C90523" w:rsidRDefault="006568A3" w:rsidP="00B007FE">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Eixo estratégico </w:t>
            </w:r>
            <w:r w:rsidRPr="006568A3">
              <w:rPr>
                <w:rFonts w:ascii="Calibri" w:eastAsia="Times New Roman" w:hAnsi="Calibri" w:cs="Times New Roman"/>
                <w:b/>
                <w:bCs/>
                <w:i/>
                <w:iCs/>
                <w:color w:val="000000"/>
                <w:lang w:eastAsia="es-ES"/>
              </w:rPr>
              <w:t>Saúde</w:t>
            </w:r>
            <w:r w:rsidRPr="006568A3">
              <w:rPr>
                <w:rFonts w:ascii="Calibri" w:eastAsia="Times New Roman" w:hAnsi="Calibri" w:cs="Times New Roman"/>
                <w:b/>
                <w:bCs/>
                <w:color w:val="000000"/>
                <w:lang w:eastAsia="es-ES"/>
              </w:rPr>
              <w:t xml:space="preserve"> </w:t>
            </w:r>
          </w:p>
        </w:tc>
      </w:tr>
      <w:tr w:rsidR="00F831A4" w:rsidRPr="00C90523" w:rsidTr="007D2440">
        <w:trPr>
          <w:trHeight w:val="510"/>
          <w:tblHeader/>
        </w:trPr>
        <w:tc>
          <w:tcPr>
            <w:tcW w:w="2540"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264"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438" w:type="dxa"/>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8C0DE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340" w:type="dxa"/>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 responsável</w:t>
            </w:r>
          </w:p>
        </w:tc>
        <w:tc>
          <w:tcPr>
            <w:tcW w:w="2184" w:type="dxa"/>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Entidades envolvidas</w:t>
            </w:r>
          </w:p>
        </w:tc>
        <w:tc>
          <w:tcPr>
            <w:tcW w:w="2099" w:type="dxa"/>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3112A1">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578" w:type="dxa"/>
            <w:tcBorders>
              <w:top w:val="single" w:sz="4" w:space="0" w:color="000000"/>
              <w:left w:val="single" w:sz="4" w:space="0" w:color="000000"/>
              <w:bottom w:val="single" w:sz="4" w:space="0" w:color="000000"/>
              <w:right w:val="single" w:sz="4" w:space="0" w:color="000000"/>
            </w:tcBorders>
            <w:shd w:val="clear" w:color="000000" w:fill="4F81BD"/>
            <w:hideMark/>
          </w:tcPr>
          <w:p w:rsidR="00F831A4"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F831A4" w:rsidRPr="00C90523" w:rsidTr="007D2440">
        <w:trPr>
          <w:trHeight w:val="1415"/>
        </w:trPr>
        <w:tc>
          <w:tcPr>
            <w:tcW w:w="460" w:type="dxa"/>
            <w:vMerge w:val="restart"/>
            <w:tcBorders>
              <w:top w:val="single" w:sz="4" w:space="0" w:color="000000"/>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1.1</w:t>
            </w:r>
          </w:p>
        </w:tc>
        <w:tc>
          <w:tcPr>
            <w:tcW w:w="2080" w:type="dxa"/>
            <w:vMerge w:val="restart"/>
            <w:tcBorders>
              <w:top w:val="single" w:sz="4" w:space="0" w:color="000000"/>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Aumento do número de programas da saúde que utilizam uma abordagem de género e contribuem para respostas aos problemas diferenciados de mulheres e homens, incluindo grupos específicos, e um maior acesso dos homens aos diferentes serviços.</w:t>
            </w:r>
          </w:p>
        </w:tc>
        <w:tc>
          <w:tcPr>
            <w:tcW w:w="660" w:type="dxa"/>
            <w:tcBorders>
              <w:top w:val="single" w:sz="4" w:space="0" w:color="000000"/>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1.1.1</w:t>
            </w:r>
          </w:p>
        </w:tc>
        <w:tc>
          <w:tcPr>
            <w:tcW w:w="3604"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Acompanhar a implementação das propostas feitas para integração da abordagem de género no Plano Nacional de Desenvolvimento Sanitário (PNDS 2012-2016) </w:t>
            </w:r>
          </w:p>
        </w:tc>
        <w:tc>
          <w:tcPr>
            <w:tcW w:w="1438"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tc>
        <w:tc>
          <w:tcPr>
            <w:tcW w:w="1340"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43086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Parceiros internacionais</w:t>
            </w:r>
          </w:p>
        </w:tc>
        <w:tc>
          <w:tcPr>
            <w:tcW w:w="2099"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Plano Nacional de Desenvolvimento Sanitário (PNDS 2012-2016)</w:t>
            </w:r>
          </w:p>
        </w:tc>
        <w:tc>
          <w:tcPr>
            <w:tcW w:w="2578"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*Prestação dos cuidados de saúde na rede hospitalar. </w:t>
            </w:r>
            <w:r w:rsidRPr="006568A3">
              <w:rPr>
                <w:rFonts w:ascii="Calibri" w:eastAsia="Times New Roman" w:hAnsi="Calibri" w:cs="Times New Roman"/>
                <w:color w:val="000000"/>
                <w:sz w:val="20"/>
                <w:szCs w:val="20"/>
                <w:lang w:eastAsia="es-ES"/>
              </w:rPr>
              <w:br/>
              <w:t>*Prestação dos cuidados de saúde na rede de atenção primária.</w:t>
            </w:r>
            <w:r w:rsidRPr="006568A3">
              <w:rPr>
                <w:rFonts w:ascii="Calibri" w:eastAsia="Times New Roman" w:hAnsi="Calibri" w:cs="Times New Roman"/>
                <w:color w:val="000000"/>
                <w:sz w:val="20"/>
                <w:szCs w:val="20"/>
                <w:lang w:eastAsia="es-ES"/>
              </w:rPr>
              <w:br/>
              <w:t>*Desenvolvimento dos recursos humanos de saúde.</w:t>
            </w:r>
          </w:p>
        </w:tc>
      </w:tr>
      <w:tr w:rsidR="00F831A4" w:rsidRPr="00C90523" w:rsidTr="000A52A9">
        <w:trPr>
          <w:trHeight w:val="1507"/>
        </w:trPr>
        <w:tc>
          <w:tcPr>
            <w:tcW w:w="460"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20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1.1.2</w:t>
            </w:r>
          </w:p>
        </w:tc>
        <w:tc>
          <w:tcPr>
            <w:tcW w:w="36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Analisar os programas do PNDS priorizados   (Diabetes, Luta contra o Cancro, Saúde Mental) e propor/acompanhar a implementação de medidas para que a prestação de serviços responda às necessidades diferenciadas de mulheres e homens, incluindo grupos específicos</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43086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ICIEG,  Associação de Luta contra o Cancro, A Ponte,  Cruz vermelha, Universidades, INSP, Parceiros internacionais </w:t>
            </w:r>
          </w:p>
        </w:tc>
        <w:tc>
          <w:tcPr>
            <w:tcW w:w="2099"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PNDS - Programa de prestação de Cuidados de Saúde</w:t>
            </w:r>
          </w:p>
        </w:tc>
        <w:tc>
          <w:tcPr>
            <w:tcW w:w="2578" w:type="dxa"/>
            <w:tcBorders>
              <w:top w:val="nil"/>
              <w:left w:val="nil"/>
              <w:bottom w:val="single" w:sz="4" w:space="0" w:color="auto"/>
              <w:right w:val="single" w:sz="4" w:space="0" w:color="auto"/>
            </w:tcBorders>
            <w:shd w:val="clear" w:color="auto" w:fill="auto"/>
            <w:hideMark/>
          </w:tcPr>
          <w:p w:rsidR="00F831A4"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*Prestação dos cuidados de saúde na rede hospitalar. </w:t>
            </w:r>
            <w:r w:rsidRPr="006568A3">
              <w:rPr>
                <w:rFonts w:ascii="Calibri" w:eastAsia="Times New Roman" w:hAnsi="Calibri" w:cs="Times New Roman"/>
                <w:color w:val="000000"/>
                <w:sz w:val="20"/>
                <w:szCs w:val="20"/>
                <w:lang w:eastAsia="es-ES"/>
              </w:rPr>
              <w:br/>
              <w:t>*Prestação dos cuidados de saúde na rede de atenção primária.</w:t>
            </w:r>
          </w:p>
        </w:tc>
      </w:tr>
      <w:tr w:rsidR="000372B6" w:rsidRPr="00C90523" w:rsidTr="000372B6">
        <w:trPr>
          <w:trHeight w:val="1206"/>
        </w:trPr>
        <w:tc>
          <w:tcPr>
            <w:tcW w:w="460" w:type="dxa"/>
            <w:vMerge w:val="restart"/>
            <w:tcBorders>
              <w:top w:val="nil"/>
              <w:left w:val="single" w:sz="4" w:space="0" w:color="auto"/>
              <w:bottom w:val="single" w:sz="4" w:space="0" w:color="000000"/>
              <w:right w:val="nil"/>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w:t>
            </w:r>
          </w:p>
        </w:tc>
        <w:tc>
          <w:tcPr>
            <w:tcW w:w="2080" w:type="dxa"/>
            <w:vMerge w:val="restart"/>
            <w:tcBorders>
              <w:top w:val="nil"/>
              <w:left w:val="nil"/>
              <w:bottom w:val="single" w:sz="4" w:space="0" w:color="000000"/>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Os dados do sector saúde estão disponíveis desagregados por sexo e outras variáveis relevantes e utilizados de maneira sistemática na planificação. sectorial e no seguimento e avaliação do PNDS. </w:t>
            </w:r>
          </w:p>
        </w:tc>
        <w:tc>
          <w:tcPr>
            <w:tcW w:w="660" w:type="dxa"/>
            <w:tcBorders>
              <w:top w:val="nil"/>
              <w:left w:val="nil"/>
              <w:bottom w:val="single" w:sz="4" w:space="0" w:color="auto"/>
              <w:right w:val="nil"/>
            </w:tcBorders>
            <w:shd w:val="clear" w:color="auto" w:fill="auto"/>
            <w:hideMark/>
          </w:tcPr>
          <w:p w:rsidR="000372B6"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1.2.1</w:t>
            </w:r>
          </w:p>
        </w:tc>
        <w:tc>
          <w:tcPr>
            <w:tcW w:w="3604"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Analisar o sistema e os processos de produção de dados do sistema de informação da saúde e propor medidas para que o tratamento dos dados seja desagregados a todos os níveis </w:t>
            </w:r>
          </w:p>
        </w:tc>
        <w:tc>
          <w:tcPr>
            <w:tcW w:w="1438"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0372B6" w:rsidRPr="00C90523" w:rsidRDefault="006568A3" w:rsidP="0043086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INE, UniCV/CIGEF, INSP, Parceiros internacionais</w:t>
            </w:r>
          </w:p>
        </w:tc>
        <w:tc>
          <w:tcPr>
            <w:tcW w:w="2099" w:type="dxa"/>
            <w:vMerge w:val="restart"/>
            <w:tcBorders>
              <w:top w:val="nil"/>
              <w:left w:val="nil"/>
              <w:right w:val="single" w:sz="4" w:space="0" w:color="auto"/>
            </w:tcBorders>
            <w:shd w:val="clear" w:color="auto" w:fill="auto"/>
            <w:vAlign w:val="center"/>
            <w:hideMark/>
          </w:tcPr>
          <w:p w:rsidR="000372B6" w:rsidRPr="00C90523" w:rsidRDefault="006568A3" w:rsidP="000372B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PNDS - Programa de Desenvolvimento do Sistema de Informação Sanitária e da Investigação em Saúde</w:t>
            </w:r>
          </w:p>
        </w:tc>
        <w:tc>
          <w:tcPr>
            <w:tcW w:w="2578" w:type="dxa"/>
            <w:tcBorders>
              <w:top w:val="nil"/>
              <w:left w:val="nil"/>
              <w:bottom w:val="single" w:sz="4" w:space="0" w:color="auto"/>
              <w:right w:val="single" w:sz="4" w:space="0" w:color="auto"/>
            </w:tcBorders>
            <w:shd w:val="clear" w:color="auto" w:fill="auto"/>
            <w:hideMark/>
          </w:tcPr>
          <w:p w:rsidR="000372B6" w:rsidRPr="00C90523" w:rsidRDefault="006568A3" w:rsidP="000D61E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*Sistema integrado de informação para saúde.</w:t>
            </w:r>
          </w:p>
        </w:tc>
      </w:tr>
      <w:tr w:rsidR="000372B6" w:rsidRPr="00C90523" w:rsidTr="00FF5496">
        <w:trPr>
          <w:trHeight w:val="1252"/>
        </w:trPr>
        <w:tc>
          <w:tcPr>
            <w:tcW w:w="460" w:type="dxa"/>
            <w:vMerge/>
            <w:tcBorders>
              <w:top w:val="nil"/>
              <w:left w:val="single" w:sz="4" w:space="0" w:color="auto"/>
              <w:bottom w:val="single" w:sz="4" w:space="0" w:color="000000"/>
              <w:right w:val="nil"/>
            </w:tcBorders>
            <w:vAlign w:val="center"/>
            <w:hideMark/>
          </w:tcPr>
          <w:p w:rsidR="000372B6" w:rsidRPr="00C90523" w:rsidRDefault="000372B6" w:rsidP="00B007FE">
            <w:pPr>
              <w:spacing w:after="0" w:line="240" w:lineRule="auto"/>
              <w:rPr>
                <w:rFonts w:ascii="Calibri" w:eastAsia="Times New Roman" w:hAnsi="Calibri" w:cs="Times New Roman"/>
                <w:color w:val="000000"/>
                <w:sz w:val="20"/>
                <w:szCs w:val="20"/>
                <w:lang w:eastAsia="es-ES"/>
              </w:rPr>
            </w:pPr>
          </w:p>
        </w:tc>
        <w:tc>
          <w:tcPr>
            <w:tcW w:w="2080" w:type="dxa"/>
            <w:vMerge/>
            <w:tcBorders>
              <w:top w:val="nil"/>
              <w:left w:val="nil"/>
              <w:bottom w:val="single" w:sz="4" w:space="0" w:color="000000"/>
              <w:right w:val="single" w:sz="4" w:space="0" w:color="auto"/>
            </w:tcBorders>
            <w:vAlign w:val="center"/>
            <w:hideMark/>
          </w:tcPr>
          <w:p w:rsidR="000372B6" w:rsidRPr="00C90523" w:rsidRDefault="000372B6"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0372B6"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1.2.2</w:t>
            </w:r>
          </w:p>
        </w:tc>
        <w:tc>
          <w:tcPr>
            <w:tcW w:w="3604"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Analisar o projecto de desenvolvimento do Sistema Integrado de Saúde (SIS) e acompanhar a implementação de medidas para a integração da abordagem de género no SIS. </w:t>
            </w:r>
          </w:p>
        </w:tc>
        <w:tc>
          <w:tcPr>
            <w:tcW w:w="1438"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0372B6" w:rsidRPr="00C90523" w:rsidRDefault="006568A3" w:rsidP="0043086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ICIEG,NOSI,INE, Parceiros internacionais</w:t>
            </w:r>
          </w:p>
        </w:tc>
        <w:tc>
          <w:tcPr>
            <w:tcW w:w="2099" w:type="dxa"/>
            <w:vMerge/>
            <w:tcBorders>
              <w:left w:val="nil"/>
              <w:right w:val="single" w:sz="4" w:space="0" w:color="auto"/>
            </w:tcBorders>
            <w:shd w:val="clear" w:color="auto" w:fill="auto"/>
            <w:hideMark/>
          </w:tcPr>
          <w:p w:rsidR="000372B6" w:rsidRPr="00C90523" w:rsidRDefault="000372B6" w:rsidP="00B007FE">
            <w:pPr>
              <w:spacing w:after="0" w:line="240" w:lineRule="auto"/>
              <w:rPr>
                <w:rFonts w:ascii="Calibri" w:eastAsia="Times New Roman" w:hAnsi="Calibri" w:cs="Times New Roman"/>
                <w:color w:val="000000"/>
                <w:sz w:val="20"/>
                <w:szCs w:val="20"/>
                <w:lang w:eastAsia="es-ES"/>
              </w:rPr>
            </w:pPr>
          </w:p>
        </w:tc>
        <w:tc>
          <w:tcPr>
            <w:tcW w:w="2578"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Sistema integrado de informação para saúde. </w:t>
            </w:r>
          </w:p>
        </w:tc>
      </w:tr>
      <w:tr w:rsidR="000372B6" w:rsidRPr="00C90523" w:rsidTr="000372B6">
        <w:trPr>
          <w:trHeight w:val="849"/>
        </w:trPr>
        <w:tc>
          <w:tcPr>
            <w:tcW w:w="460" w:type="dxa"/>
            <w:vMerge/>
            <w:tcBorders>
              <w:top w:val="nil"/>
              <w:left w:val="single" w:sz="4" w:space="0" w:color="auto"/>
              <w:bottom w:val="single" w:sz="4" w:space="0" w:color="000000"/>
              <w:right w:val="nil"/>
            </w:tcBorders>
            <w:vAlign w:val="center"/>
            <w:hideMark/>
          </w:tcPr>
          <w:p w:rsidR="000372B6" w:rsidRPr="00C90523" w:rsidRDefault="000372B6" w:rsidP="00B007FE">
            <w:pPr>
              <w:spacing w:after="0" w:line="240" w:lineRule="auto"/>
              <w:rPr>
                <w:rFonts w:ascii="Calibri" w:eastAsia="Times New Roman" w:hAnsi="Calibri" w:cs="Times New Roman"/>
                <w:color w:val="000000"/>
                <w:sz w:val="20"/>
                <w:szCs w:val="20"/>
                <w:lang w:eastAsia="es-ES"/>
              </w:rPr>
            </w:pPr>
          </w:p>
        </w:tc>
        <w:tc>
          <w:tcPr>
            <w:tcW w:w="2080" w:type="dxa"/>
            <w:vMerge/>
            <w:tcBorders>
              <w:top w:val="nil"/>
              <w:left w:val="nil"/>
              <w:bottom w:val="single" w:sz="4" w:space="0" w:color="000000"/>
              <w:right w:val="single" w:sz="4" w:space="0" w:color="auto"/>
            </w:tcBorders>
            <w:vAlign w:val="center"/>
            <w:hideMark/>
          </w:tcPr>
          <w:p w:rsidR="000372B6" w:rsidRPr="00C90523" w:rsidRDefault="000372B6"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0372B6"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1.2.3</w:t>
            </w:r>
          </w:p>
        </w:tc>
        <w:tc>
          <w:tcPr>
            <w:tcW w:w="3604"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Promover no seguimento, na revisão a meio percurso e na avaliação do PNDS  o uso de estatísticas/indicadores desagregados por sexos outras variáveis </w:t>
            </w:r>
          </w:p>
        </w:tc>
        <w:tc>
          <w:tcPr>
            <w:tcW w:w="1438"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tc>
        <w:tc>
          <w:tcPr>
            <w:tcW w:w="1340" w:type="dxa"/>
            <w:tcBorders>
              <w:top w:val="nil"/>
              <w:left w:val="nil"/>
              <w:bottom w:val="single" w:sz="4" w:space="0" w:color="auto"/>
              <w:right w:val="single" w:sz="4" w:space="0" w:color="auto"/>
            </w:tcBorders>
            <w:shd w:val="clear" w:color="auto" w:fill="auto"/>
            <w:hideMark/>
          </w:tcPr>
          <w:p w:rsidR="000372B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Conselho do Ministério da Saúde</w:t>
            </w:r>
          </w:p>
        </w:tc>
        <w:tc>
          <w:tcPr>
            <w:tcW w:w="2184" w:type="dxa"/>
            <w:tcBorders>
              <w:top w:val="nil"/>
              <w:left w:val="nil"/>
              <w:bottom w:val="single" w:sz="4" w:space="0" w:color="auto"/>
              <w:right w:val="single" w:sz="4" w:space="0" w:color="auto"/>
            </w:tcBorders>
            <w:shd w:val="clear" w:color="auto" w:fill="auto"/>
            <w:hideMark/>
          </w:tcPr>
          <w:p w:rsidR="000372B6" w:rsidRPr="00C90523" w:rsidRDefault="006568A3" w:rsidP="0043086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ICIEG, INPS, INE, </w:t>
            </w:r>
            <w:r w:rsidRPr="006568A3">
              <w:rPr>
                <w:rFonts w:ascii="Calibri" w:eastAsia="Times New Roman" w:hAnsi="Calibri" w:cs="Times New Roman"/>
                <w:color w:val="000000"/>
                <w:sz w:val="20"/>
                <w:szCs w:val="20"/>
                <w:lang w:eastAsia="es-ES"/>
              </w:rPr>
              <w:br/>
              <w:t>parceiros internacionais</w:t>
            </w:r>
          </w:p>
        </w:tc>
        <w:tc>
          <w:tcPr>
            <w:tcW w:w="2099" w:type="dxa"/>
            <w:vMerge/>
            <w:tcBorders>
              <w:left w:val="nil"/>
              <w:bottom w:val="single" w:sz="4" w:space="0" w:color="auto"/>
              <w:right w:val="single" w:sz="4" w:space="0" w:color="auto"/>
            </w:tcBorders>
            <w:shd w:val="clear" w:color="auto" w:fill="auto"/>
            <w:hideMark/>
          </w:tcPr>
          <w:p w:rsidR="000372B6" w:rsidRPr="00C90523" w:rsidRDefault="000372B6" w:rsidP="00B007FE">
            <w:pPr>
              <w:spacing w:after="0" w:line="240" w:lineRule="auto"/>
              <w:rPr>
                <w:rFonts w:ascii="Calibri" w:eastAsia="Times New Roman" w:hAnsi="Calibri" w:cs="Times New Roman"/>
                <w:color w:val="000000"/>
                <w:sz w:val="20"/>
                <w:szCs w:val="20"/>
                <w:lang w:eastAsia="es-ES"/>
              </w:rPr>
            </w:pPr>
          </w:p>
        </w:tc>
        <w:tc>
          <w:tcPr>
            <w:tcW w:w="2578" w:type="dxa"/>
            <w:tcBorders>
              <w:top w:val="nil"/>
              <w:left w:val="nil"/>
              <w:bottom w:val="single" w:sz="4" w:space="0" w:color="auto"/>
              <w:right w:val="single" w:sz="4" w:space="0" w:color="auto"/>
            </w:tcBorders>
            <w:shd w:val="clear" w:color="auto" w:fill="auto"/>
            <w:hideMark/>
          </w:tcPr>
          <w:p w:rsidR="000372B6" w:rsidRPr="00C90523" w:rsidRDefault="006568A3" w:rsidP="004D7F9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*Sistema integrado de informação para saúde. </w:t>
            </w:r>
            <w:r w:rsidRPr="006568A3">
              <w:rPr>
                <w:rFonts w:ascii="Calibri" w:eastAsia="Times New Roman" w:hAnsi="Calibri" w:cs="Times New Roman"/>
                <w:color w:val="000000"/>
                <w:sz w:val="20"/>
                <w:szCs w:val="20"/>
                <w:lang w:eastAsia="es-ES"/>
              </w:rPr>
              <w:br/>
            </w:r>
          </w:p>
        </w:tc>
      </w:tr>
      <w:tr w:rsidR="00F831A4" w:rsidRPr="00C90523" w:rsidTr="000372B6">
        <w:trPr>
          <w:trHeight w:val="164"/>
        </w:trPr>
        <w:tc>
          <w:tcPr>
            <w:tcW w:w="460" w:type="dxa"/>
            <w:vMerge/>
            <w:tcBorders>
              <w:top w:val="nil"/>
              <w:left w:val="single" w:sz="4" w:space="0" w:color="auto"/>
              <w:bottom w:val="single" w:sz="4" w:space="0" w:color="000000"/>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20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1.2.4</w:t>
            </w:r>
          </w:p>
        </w:tc>
        <w:tc>
          <w:tcPr>
            <w:tcW w:w="36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Acompanhar a elaboração do novo plano estratégico da saúde com vistas a assegurar a integração da abordagem de género.</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2016-2017</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D5473D">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w:t>
            </w:r>
            <w:r w:rsidR="00D5473D">
              <w:rPr>
                <w:rFonts w:ascii="Calibri" w:eastAsia="Times New Roman" w:hAnsi="Calibri" w:cs="Times New Roman"/>
                <w:color w:val="000000"/>
                <w:sz w:val="20"/>
                <w:szCs w:val="20"/>
                <w:lang w:eastAsia="es-ES"/>
              </w:rPr>
              <w:t xml:space="preserve"> p</w:t>
            </w:r>
            <w:r w:rsidRPr="006568A3">
              <w:rPr>
                <w:rFonts w:ascii="Calibri" w:eastAsia="Times New Roman" w:hAnsi="Calibri" w:cs="Times New Roman"/>
                <w:color w:val="000000"/>
                <w:sz w:val="20"/>
                <w:szCs w:val="20"/>
                <w:lang w:eastAsia="es-ES"/>
              </w:rPr>
              <w:t>arceiros internacionais</w:t>
            </w:r>
          </w:p>
        </w:tc>
        <w:tc>
          <w:tcPr>
            <w:tcW w:w="2099"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w:t>
            </w:r>
          </w:p>
        </w:tc>
        <w:tc>
          <w:tcPr>
            <w:tcW w:w="2578" w:type="dxa"/>
            <w:tcBorders>
              <w:top w:val="nil"/>
              <w:left w:val="nil"/>
              <w:bottom w:val="single" w:sz="4" w:space="0" w:color="auto"/>
              <w:right w:val="single" w:sz="4" w:space="0" w:color="auto"/>
            </w:tcBorders>
            <w:shd w:val="clear" w:color="auto" w:fill="auto"/>
            <w:hideMark/>
          </w:tcPr>
          <w:p w:rsidR="00F831A4" w:rsidRPr="00C90523" w:rsidRDefault="006568A3" w:rsidP="00681DA3">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Desenvolvimento Institucional (Saúde).</w:t>
            </w:r>
          </w:p>
        </w:tc>
      </w:tr>
      <w:tr w:rsidR="00F831A4" w:rsidRPr="00C90523" w:rsidTr="000A52A9">
        <w:trPr>
          <w:trHeight w:val="1357"/>
        </w:trPr>
        <w:tc>
          <w:tcPr>
            <w:tcW w:w="460" w:type="dxa"/>
            <w:tcBorders>
              <w:top w:val="nil"/>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1.3</w:t>
            </w:r>
          </w:p>
        </w:tc>
        <w:tc>
          <w:tcPr>
            <w:tcW w:w="208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conhecimento do impacto nas mulheres do tempo dedicado aos cuidados de pessoas doentes.</w:t>
            </w: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1.3.1</w:t>
            </w:r>
          </w:p>
        </w:tc>
        <w:tc>
          <w:tcPr>
            <w:tcW w:w="36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Elaborar um estudo sobre impacto nas mulheres do tempo dedicado aos cuidados de pessoas doentes e formulação de propostas com base nas recomendações,  para melhorar os programas de prestação de cuidados de saúde, bem como de apoio às/aos que cuidam</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2017</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INE, MS, DGSS/MJEDRH, INSP, CIGEF/UniCV, parceiros internacionais</w:t>
            </w:r>
          </w:p>
        </w:tc>
        <w:tc>
          <w:tcPr>
            <w:tcW w:w="2099"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w:t>
            </w:r>
          </w:p>
        </w:tc>
        <w:tc>
          <w:tcPr>
            <w:tcW w:w="2578" w:type="dxa"/>
            <w:tcBorders>
              <w:top w:val="nil"/>
              <w:left w:val="nil"/>
              <w:bottom w:val="single" w:sz="4" w:space="0" w:color="auto"/>
              <w:right w:val="single" w:sz="4" w:space="0" w:color="auto"/>
            </w:tcBorders>
            <w:shd w:val="clear" w:color="auto" w:fill="auto"/>
            <w:hideMark/>
          </w:tcPr>
          <w:p w:rsidR="000D61E5"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*Reforço da igualdade e equidade de género.</w:t>
            </w:r>
          </w:p>
        </w:tc>
      </w:tr>
    </w:tbl>
    <w:p w:rsidR="00F831A4" w:rsidRPr="00C90523" w:rsidRDefault="00F831A4" w:rsidP="00F831A4">
      <w:pPr>
        <w:spacing w:after="0"/>
        <w:rPr>
          <w:b/>
          <w:sz w:val="24"/>
          <w:szCs w:val="24"/>
        </w:rPr>
      </w:pPr>
    </w:p>
    <w:tbl>
      <w:tblPr>
        <w:tblW w:w="16443" w:type="dxa"/>
        <w:tblInd w:w="70" w:type="dxa"/>
        <w:tblCellMar>
          <w:left w:w="70" w:type="dxa"/>
          <w:right w:w="70" w:type="dxa"/>
        </w:tblCellMar>
        <w:tblLook w:val="04A0" w:firstRow="1" w:lastRow="0" w:firstColumn="1" w:lastColumn="0" w:noHBand="0" w:noVBand="1"/>
      </w:tblPr>
      <w:tblGrid>
        <w:gridCol w:w="460"/>
        <w:gridCol w:w="2180"/>
        <w:gridCol w:w="660"/>
        <w:gridCol w:w="3504"/>
        <w:gridCol w:w="1438"/>
        <w:gridCol w:w="1340"/>
        <w:gridCol w:w="2184"/>
        <w:gridCol w:w="2126"/>
        <w:gridCol w:w="2551"/>
      </w:tblGrid>
      <w:tr w:rsidR="00F831A4" w:rsidRPr="00C90523" w:rsidTr="007D2440">
        <w:trPr>
          <w:trHeight w:val="300"/>
          <w:tblHeader/>
        </w:trPr>
        <w:tc>
          <w:tcPr>
            <w:tcW w:w="16443" w:type="dxa"/>
            <w:gridSpan w:val="9"/>
            <w:tcBorders>
              <w:top w:val="nil"/>
              <w:left w:val="nil"/>
              <w:bottom w:val="single" w:sz="4" w:space="0" w:color="000000"/>
              <w:right w:val="nil"/>
            </w:tcBorders>
            <w:shd w:val="clear" w:color="auto" w:fill="auto"/>
            <w:noWrap/>
            <w:vAlign w:val="bottom"/>
            <w:hideMark/>
          </w:tcPr>
          <w:p w:rsidR="00F831A4" w:rsidRPr="00C90523" w:rsidRDefault="006568A3" w:rsidP="00B007FE">
            <w:pPr>
              <w:spacing w:after="0" w:line="240" w:lineRule="auto"/>
              <w:rPr>
                <w:rFonts w:ascii="Calibri" w:eastAsia="Times New Roman" w:hAnsi="Calibri" w:cs="Times New Roman"/>
                <w:b/>
                <w:bCs/>
                <w:lang w:eastAsia="es-ES"/>
              </w:rPr>
            </w:pPr>
            <w:bookmarkStart w:id="89" w:name="_Toc402358469"/>
            <w:bookmarkEnd w:id="88"/>
            <w:r w:rsidRPr="006568A3">
              <w:rPr>
                <w:rFonts w:ascii="Calibri" w:eastAsia="Times New Roman" w:hAnsi="Calibri" w:cs="Times New Roman"/>
                <w:b/>
                <w:bCs/>
                <w:lang w:eastAsia="es-ES"/>
              </w:rPr>
              <w:t xml:space="preserve">Eixo estratégico </w:t>
            </w:r>
            <w:r w:rsidRPr="006568A3">
              <w:rPr>
                <w:rFonts w:ascii="Calibri" w:eastAsia="Times New Roman" w:hAnsi="Calibri" w:cs="Times New Roman"/>
                <w:b/>
                <w:bCs/>
                <w:i/>
                <w:iCs/>
                <w:lang w:eastAsia="es-ES"/>
              </w:rPr>
              <w:t>Direitos Sexuais e Reprodutivos</w:t>
            </w:r>
          </w:p>
        </w:tc>
      </w:tr>
      <w:tr w:rsidR="007D2440" w:rsidRPr="00C90523" w:rsidTr="007D2440">
        <w:trPr>
          <w:trHeight w:val="510"/>
          <w:tblHeader/>
        </w:trPr>
        <w:tc>
          <w:tcPr>
            <w:tcW w:w="2640"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164"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438"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340"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 responsável</w:t>
            </w:r>
          </w:p>
        </w:tc>
        <w:tc>
          <w:tcPr>
            <w:tcW w:w="2184"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Entidades envolvidas</w:t>
            </w:r>
          </w:p>
        </w:tc>
        <w:tc>
          <w:tcPr>
            <w:tcW w:w="2126"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551"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F831A4" w:rsidRPr="00C90523" w:rsidTr="007D2440">
        <w:trPr>
          <w:trHeight w:val="1894"/>
        </w:trPr>
        <w:tc>
          <w:tcPr>
            <w:tcW w:w="460" w:type="dxa"/>
            <w:vMerge w:val="restart"/>
            <w:tcBorders>
              <w:top w:val="single" w:sz="4" w:space="0" w:color="000000"/>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2.1</w:t>
            </w:r>
          </w:p>
        </w:tc>
        <w:tc>
          <w:tcPr>
            <w:tcW w:w="2180" w:type="dxa"/>
            <w:vMerge w:val="restart"/>
            <w:tcBorders>
              <w:top w:val="single" w:sz="4" w:space="0" w:color="000000"/>
              <w:left w:val="nil"/>
              <w:bottom w:val="single" w:sz="4" w:space="0" w:color="000000"/>
              <w:right w:val="single" w:sz="4" w:space="0" w:color="auto"/>
            </w:tcBorders>
            <w:shd w:val="clear" w:color="auto" w:fill="auto"/>
            <w:hideMark/>
          </w:tcPr>
          <w:p w:rsidR="00F831A4" w:rsidRPr="00C90523" w:rsidRDefault="006568A3" w:rsidP="00BE474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Aumentada a sensibilidade dos serviços de SSR às questões de género, bem como as respostas às necessidades de homens e mulheres e de grupos específicos, para uma maior autonomia das raparigas e mulheres, e de exercício de masculinidades positivas dos homens e rapazes. </w:t>
            </w:r>
          </w:p>
        </w:tc>
        <w:tc>
          <w:tcPr>
            <w:tcW w:w="660" w:type="dxa"/>
            <w:tcBorders>
              <w:top w:val="single" w:sz="4" w:space="0" w:color="000000"/>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2.1.1</w:t>
            </w:r>
          </w:p>
        </w:tc>
        <w:tc>
          <w:tcPr>
            <w:tcW w:w="3504"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333E1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Diagnosticar as práticas atuais e os gaps existentes na prestação de serviços de SSR, incluindo a </w:t>
            </w:r>
            <w:r w:rsidRPr="006568A3">
              <w:rPr>
                <w:rFonts w:cs="Arial"/>
                <w:lang w:eastAsia="es-EC"/>
              </w:rPr>
              <w:t>Informação, Educação e Comunicação (</w:t>
            </w:r>
            <w:r w:rsidRPr="006568A3">
              <w:rPr>
                <w:rFonts w:ascii="Calibri" w:eastAsia="Times New Roman" w:hAnsi="Calibri" w:cs="Times New Roman"/>
                <w:color w:val="000000"/>
                <w:sz w:val="20"/>
                <w:szCs w:val="20"/>
                <w:lang w:eastAsia="es-ES"/>
              </w:rPr>
              <w:t xml:space="preserve">IEC) e a prevenção das práticas consequências da prática insegura de IVG, tendo em conta as especificidades de género dos beneficiários/as, incluindo de grupos específicos. </w:t>
            </w:r>
          </w:p>
        </w:tc>
        <w:tc>
          <w:tcPr>
            <w:tcW w:w="1438"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w:t>
            </w:r>
          </w:p>
        </w:tc>
        <w:tc>
          <w:tcPr>
            <w:tcW w:w="1340"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VERDEFAM, MORABI, OMCV, FECAD, Laço Branco, Direção Geral de Juventude/CEJ, CCS-SIDA, MED, parceiros internacionais.</w:t>
            </w:r>
          </w:p>
        </w:tc>
        <w:tc>
          <w:tcPr>
            <w:tcW w:w="2126"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tc>
        <w:tc>
          <w:tcPr>
            <w:tcW w:w="2551"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*Prestação dos cuidados de saúde na rede de atenção primaria.</w:t>
            </w:r>
          </w:p>
        </w:tc>
      </w:tr>
      <w:tr w:rsidR="00F831A4" w:rsidRPr="00C90523" w:rsidTr="007D2440">
        <w:trPr>
          <w:trHeight w:val="875"/>
        </w:trPr>
        <w:tc>
          <w:tcPr>
            <w:tcW w:w="460"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2.1.2</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Reforçar dentro do Programa de Saúde Reprodutiva linhas de atuação de atenção às demandas de homens e mulheres e grupos específicos em relação à SSR.</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VERDEFAM, FECAD, Laço Branco, CEJ, CCS-SIDA,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p w:rsidR="003D2A4A"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PNDS</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AF0A6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Prestação dos cuidados de saúde na rede de atenção primaria.</w:t>
            </w:r>
            <w:r w:rsidRPr="006568A3">
              <w:rPr>
                <w:rFonts w:ascii="Calibri" w:eastAsia="Times New Roman" w:hAnsi="Calibri" w:cs="Times New Roman"/>
                <w:color w:val="000000"/>
                <w:sz w:val="20"/>
                <w:szCs w:val="20"/>
                <w:lang w:eastAsia="es-ES"/>
              </w:rPr>
              <w:br/>
            </w:r>
          </w:p>
        </w:tc>
      </w:tr>
      <w:tr w:rsidR="00F831A4" w:rsidRPr="00C90523" w:rsidTr="007D2440">
        <w:trPr>
          <w:trHeight w:val="889"/>
        </w:trPr>
        <w:tc>
          <w:tcPr>
            <w:tcW w:w="460"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2.1.3</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Capacitar em matéria de género e outras áreas identificadas no diagnóstico dos/as tomadores de decisão e técnicos/as prestadores/as de serviços.</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VERDEFAM,  FECAD, Laço Branco, CEJ,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*Desenvolvimento dos recursos humanos de saúde.</w:t>
            </w:r>
          </w:p>
        </w:tc>
      </w:tr>
      <w:tr w:rsidR="00F831A4" w:rsidRPr="00C90523" w:rsidTr="000372B6">
        <w:trPr>
          <w:trHeight w:val="164"/>
        </w:trPr>
        <w:tc>
          <w:tcPr>
            <w:tcW w:w="460"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2.1.4</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Desenvolver campanhas para a promoção da procura dos serviços de SSR por parte dos diferentes grupos.</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VERDEFAM, MORABI, OMCV, FECAD, Laço Branco, CEJ,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0372B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Radio educativa – Sexo e sexualidade; Vida sem SIDA/CCS-SIDA; Saúde no primeiro plano, ADECO; Caminhada dos invisuais.</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Prestação dos cuidados de saúde na rede de atenção primaria.</w:t>
            </w:r>
          </w:p>
        </w:tc>
      </w:tr>
      <w:tr w:rsidR="00F831A4" w:rsidRPr="00C90523" w:rsidTr="007D2440">
        <w:trPr>
          <w:trHeight w:val="2350"/>
        </w:trPr>
        <w:tc>
          <w:tcPr>
            <w:tcW w:w="460" w:type="dxa"/>
            <w:tcBorders>
              <w:top w:val="single" w:sz="4" w:space="0" w:color="auto"/>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2.2</w:t>
            </w:r>
          </w:p>
        </w:tc>
        <w:tc>
          <w:tcPr>
            <w:tcW w:w="218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As análises e a planificação no domínio do VIH/SIDA integram melhor os papeis de género atribuídos a homens e mulheres e abordagens promotoras da mudança de comportamento. </w:t>
            </w: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2.2.1</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Elaborar uma avaliação do impacto das estratégias de promoção da saúde no contexto do combate às IST/VIH/SIDA, que inclua uma análise de género das dinâmicas subjacentes aos comportamentos de risco dos grupos prioritários identificados pelo Plano Nacional de combate ao VIH-SIDA e elaborar estratégias de intervenção que visam as mudanças de comportamento, a serem integradas na planificação do combate ao VIH-SIDA.  </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CCS-SIDA</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ICIEG,  Ministério da Saúde (PLS, PSR), INSP, </w:t>
            </w:r>
            <w:r w:rsidRPr="006568A3">
              <w:rPr>
                <w:rFonts w:ascii="Calibri" w:eastAsia="Times New Roman" w:hAnsi="Calibri" w:cs="Times New Roman"/>
                <w:color w:val="000000"/>
                <w:sz w:val="20"/>
                <w:szCs w:val="20"/>
                <w:lang w:eastAsia="es-ES"/>
              </w:rPr>
              <w:br/>
              <w:t>VERDEFAM, MORABI, OMCV, Núcleo de Mulheres da Associação de PVVIH, MJEDRH/CEJ,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Plano Nacional de combate ao VIH-SIDA (2012-2016)</w:t>
            </w:r>
            <w:r w:rsidRPr="006568A3">
              <w:rPr>
                <w:rFonts w:ascii="Calibri" w:eastAsia="Times New Roman" w:hAnsi="Calibri" w:cs="Times New Roman"/>
                <w:color w:val="000000"/>
                <w:sz w:val="20"/>
                <w:szCs w:val="20"/>
                <w:lang w:eastAsia="es-ES"/>
              </w:rPr>
              <w:br/>
              <w:t>Programa de Saúde Reprodutiva.</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2C6DF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Reforço da luta contra sida.</w:t>
            </w:r>
          </w:p>
        </w:tc>
      </w:tr>
      <w:tr w:rsidR="00F831A4" w:rsidRPr="00C90523" w:rsidTr="007D2440">
        <w:trPr>
          <w:trHeight w:val="1591"/>
        </w:trPr>
        <w:tc>
          <w:tcPr>
            <w:tcW w:w="460" w:type="dxa"/>
            <w:vMerge w:val="restart"/>
            <w:tcBorders>
              <w:top w:val="nil"/>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2.3</w:t>
            </w:r>
          </w:p>
        </w:tc>
        <w:tc>
          <w:tcPr>
            <w:tcW w:w="2180" w:type="dxa"/>
            <w:vMerge w:val="restart"/>
            <w:tcBorders>
              <w:top w:val="nil"/>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Lideranças comunitárias e pessoal técnico de enquadramento com competências aumentadas para um abordagem de género das questões de sexualidade a nível comunitário.</w:t>
            </w: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2.3.1</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Mapear instituições e organizações com trabalho a nível comunitário e promover reflexão sobre a abordagem da sensibilização/CMC (comunicação para a mudança de  comportamento) que permita o desenvolvimento de uma abordagem mais eficaz (positiva ).</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2016</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Saúde/PSR</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ICIEG, CCS-SIDA, Universidades, </w:t>
            </w:r>
            <w:r w:rsidRPr="006568A3">
              <w:rPr>
                <w:rFonts w:ascii="Calibri" w:eastAsia="Times New Roman" w:hAnsi="Calibri" w:cs="Times New Roman"/>
                <w:color w:val="000000"/>
                <w:sz w:val="20"/>
                <w:szCs w:val="20"/>
                <w:lang w:eastAsia="es-ES"/>
              </w:rPr>
              <w:br/>
              <w:t>VERDEFAM, MORABI, OMCV, organizações de base, PNV, ICCA, CEJ,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*Prestação dos cuidados de saúde na rede de atenção primaria.</w:t>
            </w:r>
          </w:p>
        </w:tc>
      </w:tr>
      <w:tr w:rsidR="00F831A4" w:rsidRPr="00C90523" w:rsidTr="007D2440">
        <w:trPr>
          <w:trHeight w:val="1446"/>
        </w:trPr>
        <w:tc>
          <w:tcPr>
            <w:tcW w:w="460"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2.3.2</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Identificar áreas geográficas para implementação piloto e capacitar técnicos das instituições envolvidas e das lideranças comunitárias na abordagem de género da sexualidade a nível comunitário, numa lógica de formação de formadores.</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2016</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Saúde/PSR</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CCS-SIDA, Universidades</w:t>
            </w:r>
            <w:r w:rsidRPr="006568A3">
              <w:rPr>
                <w:rFonts w:ascii="Calibri" w:eastAsia="Times New Roman" w:hAnsi="Calibri" w:cs="Times New Roman"/>
                <w:color w:val="000000"/>
                <w:sz w:val="20"/>
                <w:szCs w:val="20"/>
                <w:lang w:eastAsia="es-ES"/>
              </w:rPr>
              <w:br/>
              <w:t>VERDEFAM, MORABI, OMCV, organizações de base, ICCA, PNV, CEJ,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*Desenvolvimento dos recursos humanos de saúde.</w:t>
            </w:r>
          </w:p>
        </w:tc>
      </w:tr>
      <w:tr w:rsidR="00F831A4" w:rsidRPr="00C90523" w:rsidTr="007D2440">
        <w:trPr>
          <w:trHeight w:val="672"/>
        </w:trPr>
        <w:tc>
          <w:tcPr>
            <w:tcW w:w="460" w:type="dxa"/>
            <w:vMerge w:val="restart"/>
            <w:tcBorders>
              <w:top w:val="nil"/>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2.4</w:t>
            </w:r>
          </w:p>
        </w:tc>
        <w:tc>
          <w:tcPr>
            <w:tcW w:w="2180" w:type="dxa"/>
            <w:vMerge w:val="restart"/>
            <w:tcBorders>
              <w:top w:val="nil"/>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Melhorado a compreensão do fenómeno da gravidez na adolescência e engajamento com a sua prevenção.</w:t>
            </w: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2.4.1</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Elaborar um estudo acerca dos factores de risco para a gravidez na adolescência e dinâmicas sociais subjacentes e elaborar propostas de atuação.  </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2016-2018</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Saúde/PSR</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INSP, VERDEFAM, PNV, ICCA, CEJ,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*Participação e representação dos jovens.</w:t>
            </w:r>
          </w:p>
          <w:p w:rsidR="006A37A1"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das condições das crianças e adolescentes.</w:t>
            </w:r>
          </w:p>
        </w:tc>
      </w:tr>
      <w:tr w:rsidR="00F831A4" w:rsidRPr="00C90523" w:rsidTr="007D2440">
        <w:trPr>
          <w:trHeight w:val="970"/>
        </w:trPr>
        <w:tc>
          <w:tcPr>
            <w:tcW w:w="460"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sz w:val="20"/>
                <w:szCs w:val="20"/>
                <w:lang w:eastAsia="es-ES"/>
              </w:rPr>
            </w:pPr>
          </w:p>
        </w:tc>
        <w:tc>
          <w:tcPr>
            <w:tcW w:w="660"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2.4.2</w:t>
            </w:r>
          </w:p>
        </w:tc>
        <w:tc>
          <w:tcPr>
            <w:tcW w:w="350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Apoiar campanhas/programas de prevenção da gravidez na adolescência.</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2016-2018</w:t>
            </w:r>
          </w:p>
        </w:tc>
        <w:tc>
          <w:tcPr>
            <w:tcW w:w="13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Ministério da Saúde/PSR</w:t>
            </w:r>
          </w:p>
        </w:tc>
        <w:tc>
          <w:tcPr>
            <w:tcW w:w="218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VERDEFAM, MORABI, OMCV, organizações de base, PNV, ICCA, CEJ, MED, parceiros internacionais</w:t>
            </w:r>
          </w:p>
        </w:tc>
        <w:tc>
          <w:tcPr>
            <w:tcW w:w="2126"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de Saúde Reprodutiva.</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480C6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*Participação e representação dos jovens.</w:t>
            </w:r>
            <w:r w:rsidRPr="006568A3">
              <w:rPr>
                <w:rFonts w:ascii="Calibri" w:eastAsia="Times New Roman" w:hAnsi="Calibri" w:cs="Times New Roman"/>
                <w:color w:val="000000"/>
                <w:sz w:val="20"/>
                <w:szCs w:val="20"/>
                <w:lang w:eastAsia="es-ES"/>
              </w:rPr>
              <w:br/>
              <w:t>*Prestação dos cuidados de saúde na rede de atenção primaria.</w:t>
            </w:r>
          </w:p>
        </w:tc>
      </w:tr>
    </w:tbl>
    <w:p w:rsidR="008C0DE9" w:rsidRPr="00C90523" w:rsidRDefault="008C0DE9" w:rsidP="00936014">
      <w:pPr>
        <w:spacing w:after="0"/>
      </w:pPr>
      <w:bookmarkStart w:id="90" w:name="_Toc402358471"/>
      <w:bookmarkEnd w:id="89"/>
    </w:p>
    <w:p w:rsidR="007D2440" w:rsidRPr="00C90523" w:rsidRDefault="006568A3">
      <w:r w:rsidRPr="006568A3">
        <w:br w:type="page"/>
      </w:r>
    </w:p>
    <w:tbl>
      <w:tblPr>
        <w:tblW w:w="16443" w:type="dxa"/>
        <w:tblInd w:w="70" w:type="dxa"/>
        <w:tblCellMar>
          <w:left w:w="70" w:type="dxa"/>
          <w:right w:w="70" w:type="dxa"/>
        </w:tblCellMar>
        <w:tblLook w:val="04A0" w:firstRow="1" w:lastRow="0" w:firstColumn="1" w:lastColumn="0" w:noHBand="0" w:noVBand="1"/>
      </w:tblPr>
      <w:tblGrid>
        <w:gridCol w:w="460"/>
        <w:gridCol w:w="2180"/>
        <w:gridCol w:w="660"/>
        <w:gridCol w:w="3504"/>
        <w:gridCol w:w="1438"/>
        <w:gridCol w:w="1340"/>
        <w:gridCol w:w="2184"/>
        <w:gridCol w:w="2126"/>
        <w:gridCol w:w="2551"/>
      </w:tblGrid>
      <w:tr w:rsidR="007D2440" w:rsidRPr="00C90523" w:rsidTr="007D2440">
        <w:trPr>
          <w:trHeight w:val="300"/>
          <w:tblHeader/>
        </w:trPr>
        <w:tc>
          <w:tcPr>
            <w:tcW w:w="16443" w:type="dxa"/>
            <w:gridSpan w:val="9"/>
            <w:tcBorders>
              <w:top w:val="nil"/>
              <w:left w:val="nil"/>
              <w:bottom w:val="nil"/>
              <w:right w:val="nil"/>
            </w:tcBorders>
            <w:shd w:val="clear" w:color="auto" w:fill="auto"/>
            <w:vAlign w:val="bottom"/>
            <w:hideMark/>
          </w:tcPr>
          <w:p w:rsidR="007D2440" w:rsidRPr="00C90523" w:rsidRDefault="007D2440" w:rsidP="00FF5496">
            <w:pPr>
              <w:spacing w:after="0" w:line="240" w:lineRule="auto"/>
              <w:rPr>
                <w:rFonts w:ascii="Calibri" w:eastAsia="Times New Roman" w:hAnsi="Calibri" w:cs="Times New Roman"/>
                <w:b/>
                <w:bCs/>
                <w:color w:val="000000"/>
                <w:sz w:val="24"/>
                <w:szCs w:val="24"/>
                <w:lang w:eastAsia="es-ES"/>
              </w:rPr>
            </w:pPr>
          </w:p>
          <w:p w:rsidR="007D2440" w:rsidRPr="00C90523" w:rsidRDefault="006568A3" w:rsidP="00FF5496">
            <w:pPr>
              <w:spacing w:after="0" w:line="240" w:lineRule="auto"/>
              <w:rPr>
                <w:rFonts w:ascii="Calibri" w:eastAsia="Times New Roman" w:hAnsi="Calibri" w:cs="Times New Roman"/>
                <w:b/>
                <w:bCs/>
                <w:color w:val="000000"/>
                <w:sz w:val="24"/>
                <w:szCs w:val="24"/>
                <w:lang w:eastAsia="es-ES"/>
              </w:rPr>
            </w:pPr>
            <w:r w:rsidRPr="006568A3">
              <w:rPr>
                <w:rFonts w:ascii="Calibri" w:eastAsia="Times New Roman" w:hAnsi="Calibri" w:cs="Times New Roman"/>
                <w:b/>
                <w:bCs/>
                <w:color w:val="000000"/>
                <w:sz w:val="24"/>
                <w:szCs w:val="24"/>
                <w:lang w:eastAsia="es-ES"/>
              </w:rPr>
              <w:t>Eixo estratégico: Educação e Formação Profissional</w:t>
            </w:r>
          </w:p>
        </w:tc>
      </w:tr>
      <w:tr w:rsidR="007D2440" w:rsidRPr="00C90523" w:rsidTr="007D2440">
        <w:trPr>
          <w:trHeight w:val="424"/>
          <w:tblHeader/>
        </w:trPr>
        <w:tc>
          <w:tcPr>
            <w:tcW w:w="2640"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7D2440" w:rsidP="00FF5496">
            <w:pPr>
              <w:spacing w:after="0" w:line="240" w:lineRule="auto"/>
              <w:jc w:val="center"/>
              <w:rPr>
                <w:rFonts w:ascii="Calibri" w:eastAsia="Times New Roman" w:hAnsi="Calibri" w:cs="Times New Roman"/>
                <w:b/>
                <w:bCs/>
                <w:color w:val="FFFFFF"/>
                <w:sz w:val="20"/>
                <w:szCs w:val="20"/>
                <w:lang w:eastAsia="es-ES"/>
              </w:rPr>
            </w:pPr>
            <w:r w:rsidRPr="00C90523">
              <w:rPr>
                <w:rFonts w:ascii="Calibri" w:eastAsia="Times New Roman" w:hAnsi="Calibri" w:cs="Times New Roman"/>
                <w:b/>
                <w:bCs/>
                <w:color w:val="FFFFFF"/>
                <w:sz w:val="20"/>
                <w:szCs w:val="20"/>
                <w:lang w:eastAsia="es-ES"/>
              </w:rPr>
              <w:t>Resultados esperados</w:t>
            </w:r>
          </w:p>
        </w:tc>
        <w:tc>
          <w:tcPr>
            <w:tcW w:w="4164"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7D2440" w:rsidP="00FF5496">
            <w:pPr>
              <w:spacing w:after="0" w:line="240" w:lineRule="auto"/>
              <w:jc w:val="center"/>
              <w:rPr>
                <w:rFonts w:ascii="Calibri" w:eastAsia="Times New Roman" w:hAnsi="Calibri" w:cs="Times New Roman"/>
                <w:b/>
                <w:bCs/>
                <w:color w:val="FFFFFF"/>
                <w:sz w:val="20"/>
                <w:szCs w:val="20"/>
                <w:lang w:eastAsia="es-ES"/>
              </w:rPr>
            </w:pPr>
            <w:r w:rsidRPr="00C90523">
              <w:rPr>
                <w:rFonts w:ascii="Calibri" w:eastAsia="Times New Roman" w:hAnsi="Calibri" w:cs="Times New Roman"/>
                <w:b/>
                <w:bCs/>
                <w:color w:val="FFFFFF"/>
                <w:sz w:val="20"/>
                <w:szCs w:val="20"/>
                <w:lang w:eastAsia="es-ES"/>
              </w:rPr>
              <w:t>Medidas estratégicas</w:t>
            </w:r>
          </w:p>
        </w:tc>
        <w:tc>
          <w:tcPr>
            <w:tcW w:w="1438"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340"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861276" w:rsidRDefault="007D2440" w:rsidP="00FF5496">
            <w:pPr>
              <w:spacing w:after="0" w:line="240" w:lineRule="auto"/>
              <w:rPr>
                <w:rFonts w:ascii="Calibri" w:eastAsia="Times New Roman" w:hAnsi="Calibri" w:cs="Times New Roman"/>
                <w:b/>
                <w:bCs/>
                <w:color w:val="FFFFFF"/>
                <w:sz w:val="20"/>
                <w:szCs w:val="20"/>
                <w:lang w:eastAsia="es-ES"/>
              </w:rPr>
            </w:pPr>
            <w:r w:rsidRPr="00861276">
              <w:rPr>
                <w:rFonts w:ascii="Calibri" w:eastAsia="Times New Roman" w:hAnsi="Calibri" w:cs="Times New Roman"/>
                <w:b/>
                <w:bCs/>
                <w:color w:val="FFFFFF"/>
                <w:sz w:val="20"/>
                <w:szCs w:val="20"/>
                <w:lang w:eastAsia="es-ES"/>
              </w:rPr>
              <w:t>Entidade responsável</w:t>
            </w:r>
          </w:p>
        </w:tc>
        <w:tc>
          <w:tcPr>
            <w:tcW w:w="2184"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7D2440" w:rsidP="00FF5496">
            <w:pPr>
              <w:spacing w:after="0" w:line="240" w:lineRule="auto"/>
              <w:rPr>
                <w:rFonts w:ascii="Calibri" w:eastAsia="Times New Roman" w:hAnsi="Calibri" w:cs="Times New Roman"/>
                <w:b/>
                <w:bCs/>
                <w:color w:val="FFFFFF"/>
                <w:sz w:val="20"/>
                <w:szCs w:val="20"/>
                <w:lang w:eastAsia="es-ES"/>
              </w:rPr>
            </w:pPr>
            <w:r w:rsidRPr="00C90523">
              <w:rPr>
                <w:rFonts w:ascii="Calibri" w:eastAsia="Times New Roman" w:hAnsi="Calibri" w:cs="Times New Roman"/>
                <w:b/>
                <w:bCs/>
                <w:color w:val="FFFFFF"/>
                <w:sz w:val="20"/>
                <w:szCs w:val="20"/>
                <w:lang w:eastAsia="es-ES"/>
              </w:rPr>
              <w:t>Entidades envolvidas</w:t>
            </w:r>
          </w:p>
        </w:tc>
        <w:tc>
          <w:tcPr>
            <w:tcW w:w="2126"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551" w:type="dxa"/>
            <w:tcBorders>
              <w:top w:val="single" w:sz="4" w:space="0" w:color="000000"/>
              <w:left w:val="single" w:sz="4" w:space="0" w:color="000000"/>
              <w:bottom w:val="single" w:sz="4" w:space="0" w:color="000000"/>
              <w:right w:val="single" w:sz="4" w:space="0" w:color="000000"/>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7D2440" w:rsidRPr="00C90523" w:rsidTr="007D2440">
        <w:trPr>
          <w:trHeight w:val="1504"/>
        </w:trPr>
        <w:tc>
          <w:tcPr>
            <w:tcW w:w="460" w:type="dxa"/>
            <w:vMerge w:val="restart"/>
            <w:tcBorders>
              <w:top w:val="single" w:sz="4" w:space="0" w:color="000000"/>
              <w:left w:val="single" w:sz="4" w:space="0" w:color="auto"/>
              <w:bottom w:val="single" w:sz="4" w:space="0" w:color="000000"/>
            </w:tcBorders>
            <w:shd w:val="clear" w:color="auto" w:fill="auto"/>
            <w:hideMark/>
          </w:tcPr>
          <w:p w:rsidR="007D2440" w:rsidRPr="00C90523" w:rsidRDefault="007D2440" w:rsidP="00FF5496">
            <w:pPr>
              <w:spacing w:after="0" w:line="240" w:lineRule="auto"/>
              <w:jc w:val="right"/>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3.1</w:t>
            </w:r>
          </w:p>
        </w:tc>
        <w:tc>
          <w:tcPr>
            <w:tcW w:w="2180" w:type="dxa"/>
            <w:vMerge w:val="restart"/>
            <w:tcBorders>
              <w:top w:val="single" w:sz="4" w:space="0" w:color="000000"/>
              <w:left w:val="nil"/>
              <w:bottom w:val="single" w:sz="4" w:space="0" w:color="000000"/>
              <w:right w:val="single" w:sz="4" w:space="0" w:color="auto"/>
            </w:tcBorders>
            <w:shd w:val="clear" w:color="auto" w:fill="auto"/>
            <w:hideMark/>
          </w:tcPr>
          <w:p w:rsidR="007D2440" w:rsidRPr="00C90523" w:rsidRDefault="006568A3" w:rsidP="00FF5496">
            <w:pPr>
              <w:spacing w:after="24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integração da igualdade de género nas práticas educativas nos vários níveis de ensino (pré-escolar, básico, secundário, superior, formação profissional).</w:t>
            </w:r>
            <w:r w:rsidRPr="006568A3">
              <w:rPr>
                <w:rFonts w:ascii="Calibri" w:eastAsia="Times New Roman" w:hAnsi="Calibri" w:cs="Times New Roman"/>
                <w:color w:val="000000"/>
                <w:sz w:val="20"/>
                <w:szCs w:val="20"/>
                <w:lang w:eastAsia="es-ES"/>
              </w:rPr>
              <w:br/>
            </w:r>
            <w:r w:rsidRPr="006568A3">
              <w:rPr>
                <w:rFonts w:ascii="Calibri" w:eastAsia="Times New Roman" w:hAnsi="Calibri" w:cs="Times New Roman"/>
                <w:color w:val="000000"/>
                <w:sz w:val="20"/>
                <w:szCs w:val="20"/>
                <w:lang w:eastAsia="es-ES"/>
              </w:rPr>
              <w:br/>
            </w:r>
          </w:p>
        </w:tc>
        <w:tc>
          <w:tcPr>
            <w:tcW w:w="660" w:type="dxa"/>
            <w:tcBorders>
              <w:top w:val="single" w:sz="4" w:space="0" w:color="000000"/>
              <w:left w:val="nil"/>
              <w:bottom w:val="single" w:sz="4" w:space="0" w:color="auto"/>
              <w:right w:val="nil"/>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3.1.1</w:t>
            </w:r>
          </w:p>
        </w:tc>
        <w:tc>
          <w:tcPr>
            <w:tcW w:w="3504" w:type="dxa"/>
            <w:tcBorders>
              <w:top w:val="single" w:sz="4" w:space="0" w:color="000000"/>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Revisar os instrumentos pedagógicos e materiais didácticos do ensino pré-escolar, básico e secundário para a introdução de conteúdos referentes à promoção da igualdade género e de linguagem não sexista (Ligado ao PNVBG 1.3.)</w:t>
            </w:r>
          </w:p>
        </w:tc>
        <w:tc>
          <w:tcPr>
            <w:tcW w:w="1438" w:type="dxa"/>
            <w:tcBorders>
              <w:top w:val="single" w:sz="4" w:space="0" w:color="000000"/>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2015-2018</w:t>
            </w:r>
          </w:p>
        </w:tc>
        <w:tc>
          <w:tcPr>
            <w:tcW w:w="1340" w:type="dxa"/>
            <w:tcBorders>
              <w:top w:val="single" w:sz="4" w:space="0" w:color="000000"/>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MED</w:t>
            </w:r>
          </w:p>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2184" w:type="dxa"/>
            <w:tcBorders>
              <w:top w:val="single" w:sz="4" w:space="0" w:color="000000"/>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ICIEG, CIGEF/UniCV</w:t>
            </w:r>
            <w:r w:rsidR="00F207D0">
              <w:rPr>
                <w:rFonts w:ascii="Calibri" w:eastAsia="Times New Roman" w:hAnsi="Calibri" w:cs="Times New Roman"/>
                <w:color w:val="000000"/>
                <w:sz w:val="20"/>
                <w:szCs w:val="20"/>
                <w:lang w:eastAsia="es-ES"/>
              </w:rPr>
              <w:t xml:space="preserve">, </w:t>
            </w:r>
            <w:r w:rsidR="00F207D0" w:rsidRPr="00661586">
              <w:rPr>
                <w:rFonts w:ascii="Calibri" w:eastAsia="Times New Roman" w:hAnsi="Calibri" w:cs="Times New Roman"/>
                <w:color w:val="000000"/>
                <w:sz w:val="20"/>
                <w:szCs w:val="20"/>
                <w:lang w:eastAsia="es-ES"/>
              </w:rPr>
              <w:t>Instituto Universitário de Educação</w:t>
            </w:r>
          </w:p>
        </w:tc>
        <w:tc>
          <w:tcPr>
            <w:tcW w:w="2126" w:type="dxa"/>
            <w:tcBorders>
              <w:top w:val="single" w:sz="4" w:space="0" w:color="000000"/>
              <w:left w:val="nil"/>
              <w:bottom w:val="single" w:sz="4" w:space="0" w:color="auto"/>
              <w:right w:val="single" w:sz="4" w:space="0" w:color="auto"/>
            </w:tcBorders>
            <w:shd w:val="clear" w:color="auto" w:fill="auto"/>
            <w:hideMark/>
          </w:tcPr>
          <w:p w:rsidR="007D2440" w:rsidRPr="00861276" w:rsidRDefault="007D2440" w:rsidP="00FF5496">
            <w:pPr>
              <w:spacing w:after="0" w:line="240" w:lineRule="auto"/>
              <w:rPr>
                <w:rFonts w:ascii="Calibri" w:eastAsia="Times New Roman" w:hAnsi="Calibri" w:cs="Times New Roman"/>
                <w:color w:val="000000"/>
                <w:sz w:val="20"/>
                <w:szCs w:val="20"/>
                <w:lang w:eastAsia="es-ES"/>
              </w:rPr>
            </w:pPr>
            <w:r w:rsidRPr="00861276">
              <w:rPr>
                <w:rFonts w:ascii="Calibri" w:eastAsia="Times New Roman" w:hAnsi="Calibri" w:cs="Times New Roman"/>
                <w:color w:val="000000"/>
                <w:sz w:val="20"/>
                <w:szCs w:val="20"/>
                <w:lang w:eastAsia="es-ES"/>
              </w:rPr>
              <w:t>PIEFE 2013-2018</w:t>
            </w:r>
            <w:r w:rsidRPr="00861276">
              <w:rPr>
                <w:rFonts w:ascii="Calibri" w:eastAsia="Times New Roman" w:hAnsi="Calibri" w:cs="Times New Roman"/>
                <w:color w:val="000000"/>
                <w:sz w:val="20"/>
                <w:szCs w:val="20"/>
                <w:lang w:eastAsia="es-ES"/>
              </w:rPr>
              <w:br/>
              <w:t>PNED</w:t>
            </w:r>
          </w:p>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sobre a pequena infância</w:t>
            </w:r>
          </w:p>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2551" w:type="dxa"/>
            <w:tcBorders>
              <w:top w:val="single" w:sz="4" w:space="0" w:color="000000"/>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*Reforço da educação pré-escolar. F7.- Melhoria da qualidade do ensino básico. </w:t>
            </w:r>
            <w:r w:rsidRPr="006568A3">
              <w:rPr>
                <w:rFonts w:ascii="Calibri" w:eastAsia="Times New Roman" w:hAnsi="Calibri" w:cs="Times New Roman"/>
                <w:color w:val="000000"/>
                <w:sz w:val="20"/>
                <w:szCs w:val="20"/>
                <w:lang w:eastAsia="es-ES"/>
              </w:rPr>
              <w:br/>
              <w:t>*Melhoria da qualidade do ensino secundário.</w:t>
            </w:r>
            <w:r w:rsidRPr="006568A3">
              <w:rPr>
                <w:rFonts w:ascii="Calibri" w:eastAsia="Times New Roman" w:hAnsi="Calibri" w:cs="Times New Roman"/>
                <w:color w:val="000000"/>
                <w:sz w:val="20"/>
                <w:szCs w:val="20"/>
                <w:lang w:eastAsia="es-ES"/>
              </w:rPr>
              <w:br/>
              <w:t xml:space="preserve">*Desenvolvimento do ensino técnico e profissional.  </w:t>
            </w:r>
          </w:p>
        </w:tc>
      </w:tr>
      <w:tr w:rsidR="007D2440" w:rsidRPr="00C90523" w:rsidTr="007D2440">
        <w:trPr>
          <w:trHeight w:val="164"/>
        </w:trPr>
        <w:tc>
          <w:tcPr>
            <w:tcW w:w="460" w:type="dxa"/>
            <w:vMerge/>
            <w:tcBorders>
              <w:top w:val="single" w:sz="4" w:space="0" w:color="000000"/>
              <w:left w:val="single" w:sz="4" w:space="0" w:color="auto"/>
              <w:bottom w:val="single" w:sz="4" w:space="0" w:color="000000"/>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3.1.2</w:t>
            </w:r>
          </w:p>
        </w:tc>
        <w:tc>
          <w:tcPr>
            <w:tcW w:w="350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Integrar a disciplina sobre igualdade de género no curriculum dos cursos de formação profissional e dos cursos públicos ou privados de graduação de docentes e capacitação respectivos dos formadores de docentes (ligado a PNVBG 1.5.)</w:t>
            </w:r>
          </w:p>
        </w:tc>
        <w:tc>
          <w:tcPr>
            <w:tcW w:w="1438" w:type="dxa"/>
            <w:tcBorders>
              <w:top w:val="nil"/>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2015-2016</w:t>
            </w:r>
          </w:p>
        </w:tc>
        <w:tc>
          <w:tcPr>
            <w:tcW w:w="1340" w:type="dxa"/>
            <w:tcBorders>
              <w:top w:val="nil"/>
              <w:left w:val="nil"/>
              <w:bottom w:val="single" w:sz="4" w:space="0" w:color="auto"/>
              <w:right w:val="single" w:sz="4" w:space="0" w:color="auto"/>
            </w:tcBorders>
            <w:shd w:val="clear" w:color="auto" w:fill="auto"/>
            <w:hideMark/>
          </w:tcPr>
          <w:p w:rsidR="007D2440" w:rsidRPr="00861276" w:rsidRDefault="007D2440" w:rsidP="00B31D7E">
            <w:pPr>
              <w:spacing w:after="0" w:line="240" w:lineRule="auto"/>
              <w:rPr>
                <w:rFonts w:ascii="Calibri" w:eastAsia="Times New Roman" w:hAnsi="Calibri" w:cs="Times New Roman"/>
                <w:color w:val="000000"/>
                <w:sz w:val="20"/>
                <w:szCs w:val="20"/>
                <w:lang w:eastAsia="es-ES"/>
              </w:rPr>
            </w:pPr>
            <w:r w:rsidRPr="00861276">
              <w:rPr>
                <w:rFonts w:ascii="Calibri" w:eastAsia="Times New Roman" w:hAnsi="Calibri" w:cs="Times New Roman"/>
                <w:color w:val="000000"/>
                <w:sz w:val="20"/>
                <w:szCs w:val="20"/>
                <w:lang w:eastAsia="es-ES"/>
              </w:rPr>
              <w:t>IEFP</w:t>
            </w:r>
            <w:r w:rsidR="00B31D7E">
              <w:rPr>
                <w:rFonts w:ascii="Calibri" w:eastAsia="Times New Roman" w:hAnsi="Calibri" w:cs="Times New Roman"/>
                <w:color w:val="000000"/>
                <w:sz w:val="20"/>
                <w:szCs w:val="20"/>
                <w:lang w:eastAsia="es-ES"/>
              </w:rPr>
              <w:t>,</w:t>
            </w:r>
            <w:r w:rsidRPr="00861276">
              <w:rPr>
                <w:rFonts w:ascii="Calibri" w:eastAsia="Times New Roman" w:hAnsi="Calibri" w:cs="Times New Roman"/>
                <w:color w:val="000000"/>
                <w:sz w:val="20"/>
                <w:szCs w:val="20"/>
                <w:lang w:eastAsia="es-ES"/>
              </w:rPr>
              <w:t xml:space="preserve"> CIGEF/UniCV </w:t>
            </w:r>
            <w:r w:rsidR="00F207D0">
              <w:rPr>
                <w:rFonts w:ascii="Calibri" w:eastAsia="Times New Roman" w:hAnsi="Calibri" w:cs="Times New Roman"/>
                <w:color w:val="000000"/>
                <w:sz w:val="20"/>
                <w:szCs w:val="20"/>
                <w:lang w:eastAsia="es-ES"/>
              </w:rPr>
              <w:t xml:space="preserve">&amp; </w:t>
            </w:r>
            <w:r w:rsidR="00F207D0" w:rsidRPr="00661586">
              <w:rPr>
                <w:rFonts w:ascii="Calibri" w:eastAsia="Times New Roman" w:hAnsi="Calibri" w:cs="Times New Roman"/>
                <w:color w:val="000000"/>
                <w:sz w:val="20"/>
                <w:szCs w:val="20"/>
                <w:lang w:eastAsia="es-ES"/>
              </w:rPr>
              <w:t>Instituto Universitário de Educação</w:t>
            </w:r>
          </w:p>
        </w:tc>
        <w:tc>
          <w:tcPr>
            <w:tcW w:w="2184" w:type="dxa"/>
            <w:tcBorders>
              <w:top w:val="nil"/>
              <w:left w:val="nil"/>
              <w:bottom w:val="single" w:sz="4" w:space="0" w:color="auto"/>
              <w:right w:val="single" w:sz="4" w:space="0" w:color="auto"/>
            </w:tcBorders>
            <w:shd w:val="clear" w:color="auto" w:fill="auto"/>
            <w:hideMark/>
          </w:tcPr>
          <w:p w:rsidR="007D2440" w:rsidRPr="00C90523" w:rsidRDefault="007D2440" w:rsidP="00F207D0">
            <w:pPr>
              <w:spacing w:after="0" w:line="240" w:lineRule="auto"/>
              <w:rPr>
                <w:rFonts w:ascii="Calibri" w:eastAsia="Times New Roman" w:hAnsi="Calibri" w:cs="Times New Roman"/>
                <w:sz w:val="20"/>
                <w:szCs w:val="20"/>
                <w:lang w:eastAsia="es-ES"/>
              </w:rPr>
            </w:pPr>
            <w:r w:rsidRPr="00C90523">
              <w:rPr>
                <w:rFonts w:ascii="Calibri" w:eastAsia="Times New Roman" w:hAnsi="Calibri" w:cs="Times New Roman"/>
                <w:sz w:val="20"/>
                <w:szCs w:val="20"/>
                <w:lang w:eastAsia="es-ES"/>
              </w:rPr>
              <w:t>ICIEG, MESCI, USNQ</w:t>
            </w:r>
            <w:r w:rsidR="00AF5225" w:rsidRPr="00861276">
              <w:rPr>
                <w:rFonts w:ascii="Calibri" w:eastAsia="Times New Roman" w:hAnsi="Calibri" w:cs="Times New Roman"/>
                <w:color w:val="000000"/>
                <w:sz w:val="20"/>
                <w:szCs w:val="20"/>
                <w:lang w:eastAsia="es-ES"/>
              </w:rPr>
              <w:t xml:space="preserve"> MED</w:t>
            </w:r>
          </w:p>
        </w:tc>
        <w:tc>
          <w:tcPr>
            <w:tcW w:w="2126"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Plano de capacitação do CIGEF/UniCV</w:t>
            </w:r>
            <w:r w:rsidRPr="006568A3">
              <w:rPr>
                <w:rFonts w:ascii="Calibri" w:eastAsia="Times New Roman" w:hAnsi="Calibri" w:cs="Times New Roman"/>
                <w:color w:val="000000"/>
                <w:sz w:val="20"/>
                <w:szCs w:val="20"/>
                <w:lang w:eastAsia="es-ES"/>
              </w:rPr>
              <w:br/>
              <w:t>(Instituto Pedagógico)</w:t>
            </w:r>
            <w:r w:rsidRPr="006568A3">
              <w:rPr>
                <w:rFonts w:ascii="Calibri" w:eastAsia="Times New Roman" w:hAnsi="Calibri" w:cs="Times New Roman"/>
                <w:color w:val="000000"/>
                <w:sz w:val="20"/>
                <w:szCs w:val="20"/>
                <w:lang w:eastAsia="es-ES"/>
              </w:rPr>
              <w:br/>
              <w:t>PIEFE 2013-2018</w:t>
            </w:r>
          </w:p>
        </w:tc>
        <w:tc>
          <w:tcPr>
            <w:tcW w:w="2551" w:type="dxa"/>
            <w:tcBorders>
              <w:top w:val="nil"/>
              <w:left w:val="nil"/>
              <w:bottom w:val="single" w:sz="4" w:space="0" w:color="auto"/>
              <w:right w:val="single" w:sz="4" w:space="0" w:color="auto"/>
            </w:tcBorders>
            <w:shd w:val="clear" w:color="auto" w:fill="auto"/>
            <w:hideMark/>
          </w:tcPr>
          <w:p w:rsidR="007D2440" w:rsidRPr="00C90523" w:rsidRDefault="006568A3" w:rsidP="00AF522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*Desenvolvimento do ensino técnico e profissional.  </w:t>
            </w:r>
            <w:r w:rsidRPr="006568A3">
              <w:rPr>
                <w:rFonts w:ascii="Calibri" w:eastAsia="Times New Roman" w:hAnsi="Calibri" w:cs="Times New Roman"/>
                <w:color w:val="000000"/>
                <w:sz w:val="20"/>
                <w:szCs w:val="20"/>
                <w:lang w:eastAsia="es-ES"/>
              </w:rPr>
              <w:br/>
              <w:t>*Formação e capacitação (ensino superior).</w:t>
            </w:r>
            <w:r w:rsidRPr="006568A3">
              <w:rPr>
                <w:rFonts w:ascii="Calibri" w:eastAsia="Times New Roman" w:hAnsi="Calibri" w:cs="Times New Roman"/>
                <w:color w:val="000000"/>
                <w:sz w:val="20"/>
                <w:szCs w:val="20"/>
                <w:lang w:eastAsia="es-ES"/>
              </w:rPr>
              <w:br/>
            </w:r>
          </w:p>
        </w:tc>
      </w:tr>
      <w:tr w:rsidR="007D2440" w:rsidRPr="00C90523" w:rsidTr="007D2440">
        <w:trPr>
          <w:trHeight w:val="248"/>
        </w:trPr>
        <w:tc>
          <w:tcPr>
            <w:tcW w:w="460" w:type="dxa"/>
            <w:vMerge/>
            <w:tcBorders>
              <w:top w:val="single" w:sz="4" w:space="0" w:color="000000"/>
              <w:left w:val="single" w:sz="4" w:space="0" w:color="auto"/>
              <w:bottom w:val="single" w:sz="4" w:space="0" w:color="000000"/>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3.1.3</w:t>
            </w:r>
          </w:p>
        </w:tc>
        <w:tc>
          <w:tcPr>
            <w:tcW w:w="350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Formar e capacitar em igualdade de género para docentes e dirigentes de todos os níveis de educação, inclusive orientadores de infância (PNVBG 1.4)</w:t>
            </w:r>
          </w:p>
        </w:tc>
        <w:tc>
          <w:tcPr>
            <w:tcW w:w="1438" w:type="dxa"/>
            <w:tcBorders>
              <w:top w:val="nil"/>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7D2440" w:rsidRPr="00861276" w:rsidRDefault="007D2440" w:rsidP="00FF5496">
            <w:pPr>
              <w:spacing w:after="0" w:line="240" w:lineRule="auto"/>
              <w:rPr>
                <w:rFonts w:ascii="Calibri" w:eastAsia="Times New Roman" w:hAnsi="Calibri" w:cs="Times New Roman"/>
                <w:color w:val="000000"/>
                <w:sz w:val="20"/>
                <w:szCs w:val="20"/>
                <w:lang w:eastAsia="es-ES"/>
              </w:rPr>
            </w:pPr>
            <w:r w:rsidRPr="00861276">
              <w:rPr>
                <w:rFonts w:ascii="Calibri" w:eastAsia="Times New Roman" w:hAnsi="Calibri" w:cs="Times New Roman"/>
                <w:color w:val="000000"/>
                <w:sz w:val="20"/>
                <w:szCs w:val="20"/>
                <w:lang w:eastAsia="es-ES"/>
              </w:rPr>
              <w:t>MED</w:t>
            </w:r>
          </w:p>
        </w:tc>
        <w:tc>
          <w:tcPr>
            <w:tcW w:w="2184" w:type="dxa"/>
            <w:tcBorders>
              <w:top w:val="nil"/>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ICIEG</w:t>
            </w:r>
          </w:p>
        </w:tc>
        <w:tc>
          <w:tcPr>
            <w:tcW w:w="2126"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PNED</w:t>
            </w:r>
          </w:p>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Novo Plano estratégico de Educação (em curso de elaboração)</w:t>
            </w:r>
          </w:p>
        </w:tc>
        <w:tc>
          <w:tcPr>
            <w:tcW w:w="2551"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*Reforço da educação pré-escolar.</w:t>
            </w:r>
          </w:p>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da qualidade do ensino básico.</w:t>
            </w:r>
            <w:r w:rsidRPr="006568A3">
              <w:rPr>
                <w:rFonts w:ascii="Calibri" w:eastAsia="Times New Roman" w:hAnsi="Calibri" w:cs="Times New Roman"/>
                <w:color w:val="000000"/>
                <w:sz w:val="20"/>
                <w:szCs w:val="20"/>
                <w:lang w:eastAsia="es-ES"/>
              </w:rPr>
              <w:br/>
              <w:t>*Melhoria da qualidade do ensino secundário.</w:t>
            </w:r>
            <w:r w:rsidRPr="006568A3">
              <w:rPr>
                <w:rFonts w:ascii="Calibri" w:eastAsia="Times New Roman" w:hAnsi="Calibri" w:cs="Times New Roman"/>
                <w:color w:val="000000"/>
                <w:sz w:val="20"/>
                <w:szCs w:val="20"/>
                <w:lang w:eastAsia="es-ES"/>
              </w:rPr>
              <w:br/>
              <w:t xml:space="preserve">*Desenvolvimento do ensino técnico e profissional. </w:t>
            </w:r>
          </w:p>
        </w:tc>
      </w:tr>
      <w:tr w:rsidR="007D2440" w:rsidRPr="00C90523" w:rsidTr="007D2440">
        <w:trPr>
          <w:trHeight w:val="1106"/>
        </w:trPr>
        <w:tc>
          <w:tcPr>
            <w:tcW w:w="460" w:type="dxa"/>
            <w:vMerge w:val="restart"/>
            <w:tcBorders>
              <w:top w:val="single" w:sz="4" w:space="0" w:color="000000"/>
              <w:left w:val="single" w:sz="4" w:space="0" w:color="auto"/>
              <w:bottom w:val="single" w:sz="4" w:space="0" w:color="000000"/>
            </w:tcBorders>
            <w:shd w:val="clear" w:color="auto" w:fill="auto"/>
            <w:hideMark/>
          </w:tcPr>
          <w:p w:rsidR="007D2440" w:rsidRPr="00C90523" w:rsidRDefault="007D2440" w:rsidP="00FF5496">
            <w:pPr>
              <w:spacing w:after="0" w:line="240" w:lineRule="auto"/>
              <w:jc w:val="right"/>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3.2</w:t>
            </w:r>
          </w:p>
        </w:tc>
        <w:tc>
          <w:tcPr>
            <w:tcW w:w="2180" w:type="dxa"/>
            <w:vMerge w:val="restart"/>
            <w:tcBorders>
              <w:top w:val="nil"/>
              <w:left w:val="nil"/>
              <w:bottom w:val="single" w:sz="4" w:space="0" w:color="000000"/>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Estratégias identificadas e implementadas para diminuir as taxas de insucesso e abandono escolar</w:t>
            </w:r>
            <w:r w:rsidRPr="006568A3">
              <w:rPr>
                <w:rFonts w:ascii="Calibri" w:eastAsia="Times New Roman" w:hAnsi="Calibri" w:cs="Times New Roman"/>
                <w:b/>
                <w:bCs/>
                <w:color w:val="000000"/>
                <w:sz w:val="20"/>
                <w:szCs w:val="20"/>
                <w:lang w:eastAsia="es-ES"/>
              </w:rPr>
              <w:t xml:space="preserve"> </w:t>
            </w:r>
            <w:r w:rsidRPr="006568A3">
              <w:rPr>
                <w:rFonts w:ascii="Calibri" w:eastAsia="Times New Roman" w:hAnsi="Calibri" w:cs="Times New Roman"/>
                <w:color w:val="000000"/>
                <w:sz w:val="20"/>
                <w:szCs w:val="20"/>
                <w:lang w:eastAsia="es-ES"/>
              </w:rPr>
              <w:t>respondendo diferenciadamente às especificidades de rapazes e raparigas.</w:t>
            </w:r>
          </w:p>
        </w:tc>
        <w:tc>
          <w:tcPr>
            <w:tcW w:w="660" w:type="dxa"/>
            <w:tcBorders>
              <w:top w:val="nil"/>
              <w:left w:val="nil"/>
              <w:bottom w:val="single" w:sz="4" w:space="0" w:color="auto"/>
              <w:right w:val="nil"/>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3.2.1</w:t>
            </w:r>
          </w:p>
        </w:tc>
        <w:tc>
          <w:tcPr>
            <w:tcW w:w="350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Garantir que os estudos em curso (insucesso escolar e o das crianças fora da escola) têm uma análise de género que permite informar estratégias que respondam às especificidades de rapazes e raparigas.</w:t>
            </w:r>
          </w:p>
        </w:tc>
        <w:tc>
          <w:tcPr>
            <w:tcW w:w="1438" w:type="dxa"/>
            <w:tcBorders>
              <w:top w:val="nil"/>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2015-2016</w:t>
            </w:r>
          </w:p>
        </w:tc>
        <w:tc>
          <w:tcPr>
            <w:tcW w:w="1340" w:type="dxa"/>
            <w:tcBorders>
              <w:top w:val="nil"/>
              <w:left w:val="nil"/>
              <w:bottom w:val="single" w:sz="4" w:space="0" w:color="auto"/>
              <w:right w:val="single" w:sz="4" w:space="0" w:color="auto"/>
            </w:tcBorders>
            <w:shd w:val="clear" w:color="auto" w:fill="auto"/>
            <w:hideMark/>
          </w:tcPr>
          <w:p w:rsidR="007D2440" w:rsidRPr="00861276" w:rsidRDefault="007D2440" w:rsidP="00FF5496">
            <w:pPr>
              <w:spacing w:after="0" w:line="240" w:lineRule="auto"/>
              <w:rPr>
                <w:rFonts w:ascii="Calibri" w:eastAsia="Times New Roman" w:hAnsi="Calibri" w:cs="Times New Roman"/>
                <w:color w:val="000000"/>
                <w:sz w:val="20"/>
                <w:szCs w:val="20"/>
                <w:lang w:eastAsia="es-ES"/>
              </w:rPr>
            </w:pPr>
            <w:r w:rsidRPr="00861276">
              <w:rPr>
                <w:rFonts w:ascii="Calibri" w:eastAsia="Times New Roman" w:hAnsi="Calibri" w:cs="Times New Roman"/>
                <w:color w:val="000000"/>
                <w:sz w:val="20"/>
                <w:szCs w:val="20"/>
                <w:lang w:eastAsia="es-ES"/>
              </w:rPr>
              <w:t>MED</w:t>
            </w:r>
          </w:p>
        </w:tc>
        <w:tc>
          <w:tcPr>
            <w:tcW w:w="218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UniCV, CIGEF, parceiros internacionais</w:t>
            </w:r>
          </w:p>
        </w:tc>
        <w:tc>
          <w:tcPr>
            <w:tcW w:w="2126"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PNED</w:t>
            </w:r>
          </w:p>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Novo Plano estratégico de Educação (em curso de elaboração)</w:t>
            </w:r>
          </w:p>
        </w:tc>
        <w:tc>
          <w:tcPr>
            <w:tcW w:w="2551"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*Melhoria da qualidade do ensino básico. </w:t>
            </w:r>
            <w:r w:rsidRPr="006568A3">
              <w:rPr>
                <w:rFonts w:ascii="Calibri" w:eastAsia="Times New Roman" w:hAnsi="Calibri" w:cs="Times New Roman"/>
                <w:color w:val="000000"/>
                <w:sz w:val="20"/>
                <w:szCs w:val="20"/>
                <w:lang w:eastAsia="es-ES"/>
              </w:rPr>
              <w:br/>
              <w:t>*Melhoria da qualidade do ensino secundário.</w:t>
            </w:r>
          </w:p>
        </w:tc>
      </w:tr>
      <w:tr w:rsidR="007D2440" w:rsidRPr="00C90523" w:rsidTr="007D2440">
        <w:trPr>
          <w:trHeight w:val="1166"/>
        </w:trPr>
        <w:tc>
          <w:tcPr>
            <w:tcW w:w="460" w:type="dxa"/>
            <w:vMerge/>
            <w:tcBorders>
              <w:top w:val="single" w:sz="4" w:space="0" w:color="000000"/>
              <w:left w:val="single" w:sz="4" w:space="0" w:color="auto"/>
              <w:bottom w:val="single" w:sz="4" w:space="0" w:color="000000"/>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3.2.2</w:t>
            </w:r>
          </w:p>
        </w:tc>
        <w:tc>
          <w:tcPr>
            <w:tcW w:w="350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Colher lições aprendidas sobre a abordagem do sucesso diferencial de rapazes e raparigas no ensino básico e secundário através da troca de experiências internacionais e introdução de novas estratégias.</w:t>
            </w:r>
          </w:p>
        </w:tc>
        <w:tc>
          <w:tcPr>
            <w:tcW w:w="1438" w:type="dxa"/>
            <w:tcBorders>
              <w:top w:val="nil"/>
              <w:left w:val="nil"/>
              <w:bottom w:val="single" w:sz="4" w:space="0" w:color="auto"/>
              <w:right w:val="single" w:sz="4" w:space="0" w:color="auto"/>
            </w:tcBorders>
            <w:shd w:val="clear" w:color="auto" w:fill="auto"/>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r w:rsidRPr="00C90523">
              <w:rPr>
                <w:rFonts w:ascii="Calibri" w:eastAsia="Times New Roman" w:hAnsi="Calibri" w:cs="Times New Roman"/>
                <w:color w:val="000000"/>
                <w:sz w:val="20"/>
                <w:szCs w:val="20"/>
                <w:lang w:eastAsia="es-ES"/>
              </w:rPr>
              <w:t>2016</w:t>
            </w:r>
          </w:p>
        </w:tc>
        <w:tc>
          <w:tcPr>
            <w:tcW w:w="1340" w:type="dxa"/>
            <w:tcBorders>
              <w:top w:val="nil"/>
              <w:left w:val="nil"/>
              <w:bottom w:val="single" w:sz="4" w:space="0" w:color="auto"/>
              <w:right w:val="single" w:sz="4" w:space="0" w:color="auto"/>
            </w:tcBorders>
            <w:shd w:val="clear" w:color="auto" w:fill="auto"/>
            <w:hideMark/>
          </w:tcPr>
          <w:p w:rsidR="007D2440" w:rsidRPr="00861276" w:rsidRDefault="007D2440" w:rsidP="00FF5496">
            <w:pPr>
              <w:spacing w:after="0" w:line="240" w:lineRule="auto"/>
              <w:rPr>
                <w:rFonts w:ascii="Calibri" w:eastAsia="Times New Roman" w:hAnsi="Calibri" w:cs="Times New Roman"/>
                <w:color w:val="000000"/>
                <w:sz w:val="20"/>
                <w:szCs w:val="20"/>
                <w:lang w:eastAsia="es-ES"/>
              </w:rPr>
            </w:pPr>
            <w:r w:rsidRPr="00861276">
              <w:rPr>
                <w:rFonts w:ascii="Calibri" w:eastAsia="Times New Roman" w:hAnsi="Calibri" w:cs="Times New Roman"/>
                <w:color w:val="000000"/>
                <w:sz w:val="20"/>
                <w:szCs w:val="20"/>
                <w:lang w:eastAsia="es-ES"/>
              </w:rPr>
              <w:t>MED</w:t>
            </w:r>
          </w:p>
        </w:tc>
        <w:tc>
          <w:tcPr>
            <w:tcW w:w="218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parceiros internacionais</w:t>
            </w:r>
          </w:p>
        </w:tc>
        <w:tc>
          <w:tcPr>
            <w:tcW w:w="2126"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PNED</w:t>
            </w:r>
          </w:p>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Novo Plano estratégico de Educação (em curso de elaboração)</w:t>
            </w:r>
          </w:p>
        </w:tc>
        <w:tc>
          <w:tcPr>
            <w:tcW w:w="2551"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*Melhoria da qualidade do ensino básico. </w:t>
            </w:r>
            <w:r w:rsidRPr="006568A3">
              <w:rPr>
                <w:rFonts w:ascii="Calibri" w:eastAsia="Times New Roman" w:hAnsi="Calibri" w:cs="Times New Roman"/>
                <w:color w:val="000000"/>
                <w:sz w:val="20"/>
                <w:szCs w:val="20"/>
                <w:lang w:eastAsia="es-ES"/>
              </w:rPr>
              <w:br/>
              <w:t>*Melhoria da qualidade do ensino secundário.</w:t>
            </w:r>
          </w:p>
        </w:tc>
      </w:tr>
      <w:tr w:rsidR="007D2440" w:rsidRPr="00C90523" w:rsidTr="007D2440">
        <w:trPr>
          <w:trHeight w:val="1362"/>
        </w:trPr>
        <w:tc>
          <w:tcPr>
            <w:tcW w:w="460" w:type="dxa"/>
            <w:vMerge/>
            <w:tcBorders>
              <w:top w:val="single" w:sz="4" w:space="0" w:color="000000"/>
              <w:left w:val="single" w:sz="4" w:space="0" w:color="auto"/>
              <w:bottom w:val="single" w:sz="4" w:space="0" w:color="000000"/>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2180" w:type="dxa"/>
            <w:vMerge/>
            <w:tcBorders>
              <w:top w:val="nil"/>
              <w:left w:val="nil"/>
              <w:bottom w:val="single" w:sz="4" w:space="0" w:color="000000"/>
              <w:right w:val="single" w:sz="4" w:space="0" w:color="auto"/>
            </w:tcBorders>
            <w:vAlign w:val="center"/>
            <w:hideMark/>
          </w:tcPr>
          <w:p w:rsidR="007D2440" w:rsidRPr="00C90523" w:rsidRDefault="007D2440" w:rsidP="00FF5496">
            <w:pPr>
              <w:spacing w:after="0" w:line="240" w:lineRule="auto"/>
              <w:rPr>
                <w:rFonts w:ascii="Calibri" w:eastAsia="Times New Roman" w:hAnsi="Calibri" w:cs="Times New Roman"/>
                <w:color w:val="000000"/>
                <w:sz w:val="20"/>
                <w:szCs w:val="20"/>
                <w:lang w:eastAsia="es-ES"/>
              </w:rPr>
            </w:pPr>
          </w:p>
        </w:tc>
        <w:tc>
          <w:tcPr>
            <w:tcW w:w="660" w:type="dxa"/>
            <w:tcBorders>
              <w:top w:val="nil"/>
              <w:left w:val="nil"/>
              <w:bottom w:val="single" w:sz="4" w:space="0" w:color="auto"/>
              <w:right w:val="nil"/>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3.2.3</w:t>
            </w:r>
          </w:p>
        </w:tc>
        <w:tc>
          <w:tcPr>
            <w:tcW w:w="350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Implementar campanhas orientadas à comunidade educativa para prevenir o abandono escolar e inserção laboral precoce, em particular dos rapazes, respondendo diferenciadamente às especificidades de rapazes e raparigas. </w:t>
            </w:r>
          </w:p>
        </w:tc>
        <w:tc>
          <w:tcPr>
            <w:tcW w:w="1438"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40"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MED</w:t>
            </w:r>
          </w:p>
        </w:tc>
        <w:tc>
          <w:tcPr>
            <w:tcW w:w="2184"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ONGs, OBCs, ICCA, Direção Geral de Trabalho e Inspeção Geral de Trabalho do MEJDRH, parceiros internacionais</w:t>
            </w:r>
          </w:p>
        </w:tc>
        <w:tc>
          <w:tcPr>
            <w:tcW w:w="2126"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PNED</w:t>
            </w:r>
          </w:p>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Novo Plano estratégico de Educação (em curso de elaboração)</w:t>
            </w:r>
          </w:p>
        </w:tc>
        <w:tc>
          <w:tcPr>
            <w:tcW w:w="2551" w:type="dxa"/>
            <w:tcBorders>
              <w:top w:val="nil"/>
              <w:left w:val="nil"/>
              <w:bottom w:val="single" w:sz="4" w:space="0" w:color="auto"/>
              <w:right w:val="single" w:sz="4" w:space="0" w:color="auto"/>
            </w:tcBorders>
            <w:shd w:val="clear" w:color="auto" w:fill="auto"/>
            <w:hideMark/>
          </w:tcPr>
          <w:p w:rsidR="007D2440" w:rsidRPr="00C90523" w:rsidRDefault="006568A3" w:rsidP="00FF549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*Melhoria da qualidade do ensino básico. </w:t>
            </w:r>
            <w:r w:rsidRPr="006568A3">
              <w:rPr>
                <w:rFonts w:ascii="Calibri" w:eastAsia="Times New Roman" w:hAnsi="Calibri" w:cs="Times New Roman"/>
                <w:color w:val="000000"/>
                <w:sz w:val="20"/>
                <w:szCs w:val="20"/>
                <w:lang w:eastAsia="es-ES"/>
              </w:rPr>
              <w:br/>
              <w:t>* Melhoria da qualidade do ensino secundário.</w:t>
            </w:r>
          </w:p>
        </w:tc>
      </w:tr>
    </w:tbl>
    <w:p w:rsidR="007D2440" w:rsidRPr="00C90523" w:rsidRDefault="007D2440"/>
    <w:tbl>
      <w:tblPr>
        <w:tblW w:w="16443" w:type="dxa"/>
        <w:tblInd w:w="70" w:type="dxa"/>
        <w:tblCellMar>
          <w:left w:w="70" w:type="dxa"/>
          <w:right w:w="70" w:type="dxa"/>
        </w:tblCellMar>
        <w:tblLook w:val="04A0" w:firstRow="1" w:lastRow="0" w:firstColumn="1" w:lastColumn="0" w:noHBand="0" w:noVBand="1"/>
      </w:tblPr>
      <w:tblGrid>
        <w:gridCol w:w="433"/>
        <w:gridCol w:w="2261"/>
        <w:gridCol w:w="613"/>
        <w:gridCol w:w="3497"/>
        <w:gridCol w:w="1438"/>
        <w:gridCol w:w="1440"/>
        <w:gridCol w:w="2281"/>
        <w:gridCol w:w="1929"/>
        <w:gridCol w:w="2551"/>
      </w:tblGrid>
      <w:tr w:rsidR="00F831A4" w:rsidRPr="00C90523" w:rsidTr="007D2440">
        <w:trPr>
          <w:trHeight w:val="300"/>
          <w:tblHeader/>
        </w:trPr>
        <w:tc>
          <w:tcPr>
            <w:tcW w:w="16443" w:type="dxa"/>
            <w:gridSpan w:val="9"/>
            <w:tcBorders>
              <w:top w:val="nil"/>
              <w:left w:val="nil"/>
              <w:bottom w:val="nil"/>
              <w:right w:val="nil"/>
            </w:tcBorders>
            <w:shd w:val="clear" w:color="auto" w:fill="auto"/>
            <w:vAlign w:val="bottom"/>
            <w:hideMark/>
          </w:tcPr>
          <w:p w:rsidR="00F831A4" w:rsidRPr="00C90523" w:rsidRDefault="006568A3" w:rsidP="00B007FE">
            <w:pPr>
              <w:spacing w:after="0" w:line="240" w:lineRule="auto"/>
              <w:rPr>
                <w:rFonts w:ascii="Calibri" w:eastAsia="Times New Roman" w:hAnsi="Calibri" w:cs="Times New Roman"/>
                <w:b/>
                <w:bCs/>
                <w:color w:val="000000"/>
                <w:sz w:val="24"/>
                <w:szCs w:val="24"/>
                <w:lang w:eastAsia="es-ES"/>
              </w:rPr>
            </w:pPr>
            <w:r w:rsidRPr="006568A3">
              <w:rPr>
                <w:rFonts w:ascii="Calibri" w:eastAsia="Times New Roman" w:hAnsi="Calibri" w:cs="Times New Roman"/>
                <w:b/>
                <w:bCs/>
                <w:color w:val="000000"/>
                <w:sz w:val="24"/>
                <w:szCs w:val="24"/>
                <w:lang w:eastAsia="es-ES"/>
              </w:rPr>
              <w:t xml:space="preserve">Eixo estratégico: </w:t>
            </w:r>
            <w:r w:rsidRPr="006568A3">
              <w:rPr>
                <w:rFonts w:ascii="Calibri" w:eastAsia="Times New Roman" w:hAnsi="Calibri" w:cs="Times New Roman"/>
                <w:b/>
                <w:i/>
                <w:iCs/>
                <w:color w:val="000000"/>
                <w:sz w:val="24"/>
                <w:szCs w:val="24"/>
                <w:lang w:eastAsia="es-ES"/>
              </w:rPr>
              <w:t>Economia produtiva</w:t>
            </w:r>
          </w:p>
        </w:tc>
      </w:tr>
      <w:tr w:rsidR="007D2440" w:rsidRPr="00C90523" w:rsidTr="007D2440">
        <w:trPr>
          <w:trHeight w:val="442"/>
          <w:tblHeader/>
        </w:trPr>
        <w:tc>
          <w:tcPr>
            <w:tcW w:w="2694" w:type="dxa"/>
            <w:gridSpan w:val="2"/>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110" w:type="dxa"/>
            <w:gridSpan w:val="2"/>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438" w:type="dxa"/>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440" w:type="dxa"/>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 responsável</w:t>
            </w:r>
          </w:p>
        </w:tc>
        <w:tc>
          <w:tcPr>
            <w:tcW w:w="2281" w:type="dxa"/>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Entidades envolvidas</w:t>
            </w:r>
          </w:p>
        </w:tc>
        <w:tc>
          <w:tcPr>
            <w:tcW w:w="1929" w:type="dxa"/>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551" w:type="dxa"/>
            <w:tcBorders>
              <w:top w:val="single" w:sz="4" w:space="0" w:color="auto"/>
              <w:left w:val="nil"/>
              <w:bottom w:val="single" w:sz="4" w:space="0" w:color="auto"/>
              <w:right w:val="single" w:sz="4" w:space="0" w:color="auto"/>
            </w:tcBorders>
            <w:shd w:val="clear" w:color="000000" w:fill="4F81BD"/>
            <w:hideMark/>
          </w:tcPr>
          <w:p w:rsidR="007D2440"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F831A4" w:rsidRPr="00C90523" w:rsidTr="007D2440">
        <w:trPr>
          <w:trHeight w:val="1412"/>
        </w:trPr>
        <w:tc>
          <w:tcPr>
            <w:tcW w:w="433" w:type="dxa"/>
            <w:vMerge w:val="restart"/>
            <w:tcBorders>
              <w:top w:val="nil"/>
              <w:left w:val="single" w:sz="4" w:space="0" w:color="auto"/>
              <w:bottom w:val="single" w:sz="4" w:space="0" w:color="000000"/>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4.1</w:t>
            </w:r>
          </w:p>
        </w:tc>
        <w:tc>
          <w:tcPr>
            <w:tcW w:w="2261" w:type="dxa"/>
            <w:vMerge w:val="restart"/>
            <w:tcBorders>
              <w:top w:val="nil"/>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Oportunidades de empreendedorismo das mulheres melhoradas, numa perspectiva de empoderamento económico.  </w:t>
            </w:r>
          </w:p>
        </w:tc>
        <w:tc>
          <w:tcPr>
            <w:tcW w:w="613"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4.1.1</w:t>
            </w:r>
          </w:p>
        </w:tc>
        <w:tc>
          <w:tcPr>
            <w:tcW w:w="34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Realizar acções de formações/acompanhar o desenvolvimento de cadeia de valores numa perspectiva de género nas áreas de investimento identificadas no DECRP III (turismo, economias criativas, agronegócios, etc.) para a diversificação económica.</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440"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Direção Geral de Industria e Comercio do MTIDE e ADEI</w:t>
            </w:r>
          </w:p>
        </w:tc>
        <w:tc>
          <w:tcPr>
            <w:tcW w:w="2281" w:type="dxa"/>
            <w:tcBorders>
              <w:top w:val="nil"/>
              <w:left w:val="nil"/>
              <w:bottom w:val="single" w:sz="4" w:space="0" w:color="auto"/>
              <w:right w:val="single" w:sz="4" w:space="0" w:color="auto"/>
            </w:tcBorders>
            <w:shd w:val="clear" w:color="auto" w:fill="auto"/>
            <w:hideMark/>
          </w:tcPr>
          <w:p w:rsidR="00F831A4" w:rsidRPr="00C90523" w:rsidRDefault="006568A3" w:rsidP="008D59EF">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CPE, MDR, MTEI, MC,  ICIEG, FAM-F, MORABI, OMCV, IMFs, parceiros internacionais</w:t>
            </w:r>
          </w:p>
        </w:tc>
        <w:tc>
          <w:tcPr>
            <w:tcW w:w="1929"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w:t>
            </w:r>
          </w:p>
        </w:tc>
        <w:tc>
          <w:tcPr>
            <w:tcW w:w="2551" w:type="dxa"/>
            <w:tcBorders>
              <w:top w:val="nil"/>
              <w:left w:val="nil"/>
              <w:bottom w:val="single" w:sz="4" w:space="0" w:color="auto"/>
              <w:right w:val="single" w:sz="4" w:space="0" w:color="auto"/>
            </w:tcBorders>
            <w:shd w:val="clear" w:color="auto" w:fill="auto"/>
            <w:hideMark/>
          </w:tcPr>
          <w:p w:rsidR="00CC05C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Promoção da capacitação das MPMEs e construção dos clusters estratégicos. </w:t>
            </w:r>
          </w:p>
          <w:p w:rsidR="00F831A4" w:rsidRPr="00C90523" w:rsidRDefault="006568A3" w:rsidP="0069409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do agro-negócio e das fileiras agro-pecuárias.</w:t>
            </w:r>
          </w:p>
        </w:tc>
      </w:tr>
      <w:tr w:rsidR="007D4837" w:rsidRPr="00C90523" w:rsidTr="007D2440">
        <w:trPr>
          <w:trHeight w:val="1347"/>
        </w:trPr>
        <w:tc>
          <w:tcPr>
            <w:tcW w:w="433" w:type="dxa"/>
            <w:vMerge/>
            <w:tcBorders>
              <w:top w:val="single" w:sz="4" w:space="0" w:color="000000"/>
              <w:left w:val="single" w:sz="4" w:space="0" w:color="auto"/>
              <w:bottom w:val="single" w:sz="4" w:space="0" w:color="000000"/>
            </w:tcBorders>
            <w:vAlign w:val="center"/>
            <w:hideMark/>
          </w:tcPr>
          <w:p w:rsidR="007D4837" w:rsidRPr="00C90523" w:rsidRDefault="007D4837"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7D4837" w:rsidRPr="00C90523" w:rsidRDefault="007D4837"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7D4837"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4.1.2</w:t>
            </w:r>
          </w:p>
        </w:tc>
        <w:tc>
          <w:tcPr>
            <w:tcW w:w="3497" w:type="dxa"/>
            <w:tcBorders>
              <w:top w:val="nil"/>
              <w:left w:val="nil"/>
              <w:bottom w:val="single" w:sz="4" w:space="0" w:color="auto"/>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Implementar medidas para que os programas de microcrédito, crédito e de promoção empresarial incluam serviços de apoio que permitam o desenvolvimento, crescimento e sustentabilidade do empreendedorismo das mulheres.</w:t>
            </w:r>
          </w:p>
        </w:tc>
        <w:tc>
          <w:tcPr>
            <w:tcW w:w="1438" w:type="dxa"/>
            <w:tcBorders>
              <w:top w:val="nil"/>
              <w:left w:val="nil"/>
              <w:bottom w:val="single" w:sz="4" w:space="0" w:color="auto"/>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440" w:type="dxa"/>
            <w:tcBorders>
              <w:top w:val="nil"/>
              <w:left w:val="nil"/>
              <w:bottom w:val="single" w:sz="4" w:space="0" w:color="auto"/>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ADEI</w:t>
            </w:r>
          </w:p>
        </w:tc>
        <w:tc>
          <w:tcPr>
            <w:tcW w:w="2281" w:type="dxa"/>
            <w:tcBorders>
              <w:top w:val="nil"/>
              <w:left w:val="nil"/>
              <w:bottom w:val="single" w:sz="4" w:space="0" w:color="auto"/>
              <w:right w:val="single" w:sz="4" w:space="0" w:color="auto"/>
            </w:tcBorders>
            <w:shd w:val="clear" w:color="auto" w:fill="auto"/>
            <w:hideMark/>
          </w:tcPr>
          <w:p w:rsidR="007D4837" w:rsidRPr="00C90523" w:rsidRDefault="006568A3" w:rsidP="00E43C1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FAM-F, MORABI, OMCV, Associações empresariais ONGs/ Associações,   MJEDRH, MDR, IEFP, ICIEG, CPE, AJEC, Novo Banco</w:t>
            </w:r>
          </w:p>
        </w:tc>
        <w:tc>
          <w:tcPr>
            <w:tcW w:w="1929" w:type="dxa"/>
            <w:vMerge w:val="restart"/>
            <w:tcBorders>
              <w:top w:val="nil"/>
              <w:left w:val="nil"/>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Programas ADEI (programa de desenvolvimento empresarial, garantia mútua, capital de risco, fundo para formandos da formação profissional, rede de incubadoras, gabinete do empreendedor). Câmaras do Comércio,</w:t>
            </w:r>
          </w:p>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w:t>
            </w:r>
          </w:p>
        </w:tc>
        <w:tc>
          <w:tcPr>
            <w:tcW w:w="2551" w:type="dxa"/>
            <w:tcBorders>
              <w:top w:val="nil"/>
              <w:left w:val="nil"/>
              <w:bottom w:val="single" w:sz="4" w:space="0" w:color="auto"/>
              <w:right w:val="single" w:sz="4" w:space="0" w:color="auto"/>
            </w:tcBorders>
            <w:shd w:val="clear" w:color="auto" w:fill="auto"/>
            <w:hideMark/>
          </w:tcPr>
          <w:p w:rsidR="007D4837" w:rsidRPr="00C90523" w:rsidRDefault="006568A3" w:rsidP="0069409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*Promoção da capacitação das MPMEs e construção dos clusters estratégicos.</w:t>
            </w:r>
          </w:p>
        </w:tc>
      </w:tr>
      <w:tr w:rsidR="007D4837" w:rsidRPr="00C90523" w:rsidTr="007D2440">
        <w:trPr>
          <w:trHeight w:val="1627"/>
        </w:trPr>
        <w:tc>
          <w:tcPr>
            <w:tcW w:w="433" w:type="dxa"/>
            <w:vMerge/>
            <w:tcBorders>
              <w:top w:val="single" w:sz="4" w:space="0" w:color="000000"/>
              <w:left w:val="single" w:sz="4" w:space="0" w:color="auto"/>
              <w:bottom w:val="single" w:sz="4" w:space="0" w:color="000000"/>
            </w:tcBorders>
            <w:vAlign w:val="center"/>
            <w:hideMark/>
          </w:tcPr>
          <w:p w:rsidR="007D4837" w:rsidRPr="00C90523" w:rsidRDefault="007D4837"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7D4837" w:rsidRPr="00C90523" w:rsidRDefault="007D4837"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7D4837"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4.1.3</w:t>
            </w:r>
          </w:p>
        </w:tc>
        <w:tc>
          <w:tcPr>
            <w:tcW w:w="3497" w:type="dxa"/>
            <w:tcBorders>
              <w:top w:val="nil"/>
              <w:left w:val="nil"/>
              <w:bottom w:val="single" w:sz="4" w:space="0" w:color="auto"/>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Elaborar um diagnóstico das necessidades das mulheres, incluindo as rurais, envolvidas em programas de promoção do empreendedorismo em matéria de esforço e do tempo dedicado as tarefas dos cuidados e domésticas, e formulação de medidas para a sua redução.</w:t>
            </w:r>
          </w:p>
        </w:tc>
        <w:tc>
          <w:tcPr>
            <w:tcW w:w="1438" w:type="dxa"/>
            <w:tcBorders>
              <w:top w:val="nil"/>
              <w:left w:val="nil"/>
              <w:bottom w:val="single" w:sz="4" w:space="0" w:color="auto"/>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440" w:type="dxa"/>
            <w:tcBorders>
              <w:top w:val="nil"/>
              <w:left w:val="nil"/>
              <w:bottom w:val="single" w:sz="4" w:space="0" w:color="auto"/>
              <w:right w:val="single" w:sz="4" w:space="0" w:color="auto"/>
            </w:tcBorders>
            <w:shd w:val="clear" w:color="auto" w:fill="auto"/>
            <w:hideMark/>
          </w:tcPr>
          <w:p w:rsidR="007D4837"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ADEI</w:t>
            </w:r>
          </w:p>
        </w:tc>
        <w:tc>
          <w:tcPr>
            <w:tcW w:w="2281" w:type="dxa"/>
            <w:tcBorders>
              <w:top w:val="nil"/>
              <w:left w:val="nil"/>
              <w:bottom w:val="single" w:sz="4" w:space="0" w:color="auto"/>
              <w:right w:val="single" w:sz="4" w:space="0" w:color="auto"/>
            </w:tcBorders>
            <w:shd w:val="clear" w:color="auto" w:fill="auto"/>
            <w:hideMark/>
          </w:tcPr>
          <w:p w:rsidR="007D4837" w:rsidRPr="00C90523" w:rsidRDefault="006568A3" w:rsidP="002E31AF">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FAM-F, MORABI, OMCV, Associações empresariais ONGs/ Associações, ICIEG  MJEDRH,</w:t>
            </w:r>
            <w:r w:rsidRPr="006568A3">
              <w:rPr>
                <w:rFonts w:ascii="Calibri" w:eastAsia="Times New Roman" w:hAnsi="Calibri" w:cs="Times New Roman"/>
                <w:color w:val="000000"/>
                <w:sz w:val="20"/>
                <w:szCs w:val="20"/>
                <w:lang w:eastAsia="es-ES"/>
              </w:rPr>
              <w:br/>
              <w:t>MDR, CPE, AJEC, ECREEE/CEREEC</w:t>
            </w:r>
          </w:p>
        </w:tc>
        <w:tc>
          <w:tcPr>
            <w:tcW w:w="1929" w:type="dxa"/>
            <w:vMerge/>
            <w:tcBorders>
              <w:left w:val="nil"/>
              <w:bottom w:val="single" w:sz="4" w:space="0" w:color="auto"/>
              <w:right w:val="single" w:sz="4" w:space="0" w:color="auto"/>
            </w:tcBorders>
            <w:shd w:val="clear" w:color="auto" w:fill="auto"/>
            <w:hideMark/>
          </w:tcPr>
          <w:p w:rsidR="007D4837" w:rsidRPr="00C90523" w:rsidRDefault="007D4837" w:rsidP="00B007FE">
            <w:pPr>
              <w:spacing w:after="0" w:line="240" w:lineRule="auto"/>
              <w:rPr>
                <w:rFonts w:ascii="Calibri" w:eastAsia="Times New Roman" w:hAnsi="Calibri" w:cs="Times New Roman"/>
                <w:color w:val="000000"/>
                <w:sz w:val="20"/>
                <w:szCs w:val="20"/>
                <w:lang w:eastAsia="es-ES"/>
              </w:rPr>
            </w:pPr>
          </w:p>
        </w:tc>
        <w:tc>
          <w:tcPr>
            <w:tcW w:w="2551" w:type="dxa"/>
            <w:tcBorders>
              <w:top w:val="nil"/>
              <w:left w:val="nil"/>
              <w:bottom w:val="single" w:sz="4" w:space="0" w:color="auto"/>
              <w:right w:val="single" w:sz="4" w:space="0" w:color="auto"/>
            </w:tcBorders>
            <w:shd w:val="clear" w:color="auto" w:fill="auto"/>
            <w:hideMark/>
          </w:tcPr>
          <w:p w:rsidR="007D4837" w:rsidRPr="00C90523" w:rsidRDefault="006568A3" w:rsidP="003B340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*Promoção da capacitação das MPMEs e construção dos clusters estratégicos. </w:t>
            </w:r>
          </w:p>
          <w:p w:rsidR="007D4837" w:rsidRPr="00C90523" w:rsidRDefault="006568A3" w:rsidP="003B340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*Acesso aos pobres dos serviços sociais de base e ao rendimento.</w:t>
            </w:r>
          </w:p>
          <w:p w:rsidR="007D4837" w:rsidRPr="00C90523" w:rsidRDefault="006568A3" w:rsidP="0069409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mais qualidade mais comunidade e micro realizações.</w:t>
            </w:r>
          </w:p>
        </w:tc>
      </w:tr>
      <w:tr w:rsidR="00F831A4" w:rsidRPr="00C90523" w:rsidTr="000372B6">
        <w:trPr>
          <w:trHeight w:val="1595"/>
        </w:trPr>
        <w:tc>
          <w:tcPr>
            <w:tcW w:w="433" w:type="dxa"/>
            <w:vMerge w:val="restart"/>
            <w:tcBorders>
              <w:top w:val="single" w:sz="4" w:space="0" w:color="000000"/>
              <w:left w:val="single" w:sz="4" w:space="0" w:color="auto"/>
              <w:bottom w:val="single" w:sz="4" w:space="0" w:color="000000"/>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4.2</w:t>
            </w:r>
          </w:p>
        </w:tc>
        <w:tc>
          <w:tcPr>
            <w:tcW w:w="2261" w:type="dxa"/>
            <w:vMerge w:val="restart"/>
            <w:tcBorders>
              <w:top w:val="nil"/>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conhecimento das jovens sobre as opções formativas de acordo com as necessidades do mercado de trabalho para promover a sua empregabilidade.</w:t>
            </w:r>
          </w:p>
        </w:tc>
        <w:tc>
          <w:tcPr>
            <w:tcW w:w="613"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4.2.1</w:t>
            </w:r>
          </w:p>
        </w:tc>
        <w:tc>
          <w:tcPr>
            <w:tcW w:w="3497" w:type="dxa"/>
            <w:tcBorders>
              <w:top w:val="nil"/>
              <w:left w:val="nil"/>
              <w:bottom w:val="single" w:sz="4" w:space="0" w:color="auto"/>
              <w:right w:val="single" w:sz="4" w:space="0" w:color="auto"/>
            </w:tcBorders>
            <w:shd w:val="clear" w:color="auto" w:fill="auto"/>
            <w:hideMark/>
          </w:tcPr>
          <w:p w:rsidR="00F831A4" w:rsidRPr="00C90523" w:rsidRDefault="006568A3" w:rsidP="006D05C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Elaborar uma análise das áreas com maior potencial de empregabilidade de mulheres e homens e ligar aos programas de orientação vocacional e profissional, numa perspectiva de diminuição da segregação do mercado de trabalho</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440" w:type="dxa"/>
            <w:tcBorders>
              <w:top w:val="nil"/>
              <w:left w:val="nil"/>
              <w:bottom w:val="single" w:sz="4" w:space="0" w:color="auto"/>
              <w:right w:val="single" w:sz="4" w:space="0" w:color="auto"/>
            </w:tcBorders>
            <w:shd w:val="clear" w:color="auto" w:fill="auto"/>
            <w:hideMark/>
          </w:tcPr>
          <w:p w:rsidR="00F831A4" w:rsidRPr="00C90523" w:rsidRDefault="00B40196" w:rsidP="000372B6">
            <w:pPr>
              <w:spacing w:after="0" w:line="240" w:lineRule="auto"/>
              <w:rPr>
                <w:rFonts w:ascii="Calibri" w:eastAsia="Times New Roman" w:hAnsi="Calibri" w:cs="Times New Roman"/>
                <w:color w:val="000000"/>
                <w:sz w:val="20"/>
                <w:szCs w:val="20"/>
                <w:lang w:eastAsia="es-ES"/>
              </w:rPr>
            </w:pPr>
            <w:r w:rsidRPr="00B40196">
              <w:rPr>
                <w:rFonts w:ascii="Calibri" w:eastAsia="Times New Roman" w:hAnsi="Calibri" w:cs="Times New Roman"/>
                <w:color w:val="000000"/>
                <w:sz w:val="20"/>
                <w:szCs w:val="20"/>
                <w:lang w:eastAsia="es-ES"/>
              </w:rPr>
              <w:t>Célula de execução do plano integrado de Educação, Formação e Emprego</w:t>
            </w:r>
            <w:r>
              <w:rPr>
                <w:rFonts w:ascii="Calibri" w:eastAsia="Times New Roman" w:hAnsi="Calibri" w:cs="Times New Roman"/>
                <w:color w:val="000000"/>
                <w:sz w:val="20"/>
                <w:szCs w:val="20"/>
                <w:lang w:eastAsia="es-ES"/>
              </w:rPr>
              <w:t>/</w:t>
            </w:r>
            <w:r w:rsidRPr="00B40196">
              <w:rPr>
                <w:rFonts w:ascii="Calibri" w:eastAsia="Times New Roman" w:hAnsi="Calibri" w:cs="Times New Roman"/>
                <w:color w:val="000000"/>
                <w:sz w:val="20"/>
                <w:szCs w:val="20"/>
                <w:lang w:eastAsia="es-ES"/>
              </w:rPr>
              <w:t xml:space="preserve"> </w:t>
            </w:r>
            <w:r w:rsidR="006568A3" w:rsidRPr="006568A3">
              <w:rPr>
                <w:rFonts w:ascii="Calibri" w:eastAsia="Times New Roman" w:hAnsi="Calibri" w:cs="Times New Roman"/>
                <w:color w:val="000000"/>
                <w:sz w:val="20"/>
                <w:szCs w:val="20"/>
                <w:lang w:eastAsia="es-ES"/>
              </w:rPr>
              <w:t>MJEDRH</w:t>
            </w:r>
          </w:p>
        </w:tc>
        <w:tc>
          <w:tcPr>
            <w:tcW w:w="2281" w:type="dxa"/>
            <w:tcBorders>
              <w:top w:val="nil"/>
              <w:left w:val="nil"/>
              <w:bottom w:val="single" w:sz="4" w:space="0" w:color="auto"/>
              <w:right w:val="single" w:sz="4" w:space="0" w:color="auto"/>
            </w:tcBorders>
            <w:shd w:val="clear" w:color="auto" w:fill="auto"/>
            <w:hideMark/>
          </w:tcPr>
          <w:p w:rsidR="005C1E8E" w:rsidRPr="00C90523" w:rsidRDefault="006568A3" w:rsidP="0069409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IEFP, ICIEG, MED, MJEDRH, Liceus, Universidades ONGs,  ECREEE/CEREEC, parceiros internacionais</w:t>
            </w:r>
          </w:p>
        </w:tc>
        <w:tc>
          <w:tcPr>
            <w:tcW w:w="1929" w:type="dxa"/>
            <w:tcBorders>
              <w:top w:val="nil"/>
              <w:left w:val="nil"/>
              <w:bottom w:val="single" w:sz="4" w:space="0" w:color="auto"/>
              <w:right w:val="single" w:sz="4" w:space="0" w:color="auto"/>
            </w:tcBorders>
            <w:shd w:val="clear" w:color="auto" w:fill="auto"/>
            <w:hideMark/>
          </w:tcPr>
          <w:p w:rsidR="002D516A" w:rsidRPr="00C90523" w:rsidRDefault="006568A3" w:rsidP="002D516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Plano integrado de ensino técnico e profissional</w:t>
            </w:r>
          </w:p>
          <w:p w:rsidR="00F831A4" w:rsidRPr="00C90523" w:rsidRDefault="006568A3" w:rsidP="002D516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Novo Plano estratégico de Educação</w:t>
            </w:r>
          </w:p>
        </w:tc>
        <w:tc>
          <w:tcPr>
            <w:tcW w:w="2551"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*Promoção do emprego e formação profissional.</w:t>
            </w:r>
          </w:p>
          <w:p w:rsidR="00D47C0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Desenvolvimento do ensino técnico e profissional.</w:t>
            </w:r>
          </w:p>
        </w:tc>
      </w:tr>
      <w:tr w:rsidR="0009267B" w:rsidRPr="00C90523" w:rsidTr="007D2440">
        <w:trPr>
          <w:trHeight w:val="1042"/>
        </w:trPr>
        <w:tc>
          <w:tcPr>
            <w:tcW w:w="433" w:type="dxa"/>
            <w:vMerge/>
            <w:tcBorders>
              <w:top w:val="single" w:sz="4" w:space="0" w:color="000000"/>
              <w:left w:val="single" w:sz="4" w:space="0" w:color="auto"/>
              <w:bottom w:val="single" w:sz="4" w:space="0" w:color="000000"/>
            </w:tcBorders>
            <w:vAlign w:val="center"/>
            <w:hideMark/>
          </w:tcPr>
          <w:p w:rsidR="0009267B" w:rsidRPr="00C90523" w:rsidRDefault="0009267B"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09267B" w:rsidRPr="00C90523" w:rsidRDefault="0009267B"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09267B"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4.2.2</w:t>
            </w:r>
          </w:p>
        </w:tc>
        <w:tc>
          <w:tcPr>
            <w:tcW w:w="3497" w:type="dxa"/>
            <w:tcBorders>
              <w:top w:val="nil"/>
              <w:left w:val="nil"/>
              <w:bottom w:val="single" w:sz="4" w:space="0" w:color="auto"/>
              <w:right w:val="single" w:sz="4" w:space="0" w:color="auto"/>
            </w:tcBorders>
            <w:shd w:val="clear" w:color="auto" w:fill="auto"/>
            <w:hideMark/>
          </w:tcPr>
          <w:p w:rsidR="0009267B" w:rsidRPr="00C90523" w:rsidRDefault="006568A3" w:rsidP="002607E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Inserir nos programas de formação profissional com potencial de empregabilidade, atuais ou em desenvolvimento, medidas  de ação afirmativa do acesso equilibrado das mulheres.</w:t>
            </w:r>
          </w:p>
        </w:tc>
        <w:tc>
          <w:tcPr>
            <w:tcW w:w="1438" w:type="dxa"/>
            <w:tcBorders>
              <w:top w:val="nil"/>
              <w:left w:val="nil"/>
              <w:bottom w:val="single" w:sz="4" w:space="0" w:color="auto"/>
              <w:right w:val="single" w:sz="4" w:space="0" w:color="auto"/>
            </w:tcBorders>
            <w:shd w:val="clear" w:color="auto" w:fill="auto"/>
            <w:hideMark/>
          </w:tcPr>
          <w:p w:rsidR="0009267B" w:rsidRPr="00C90523" w:rsidRDefault="006568A3" w:rsidP="003875A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tc>
        <w:tc>
          <w:tcPr>
            <w:tcW w:w="1440" w:type="dxa"/>
            <w:tcBorders>
              <w:top w:val="nil"/>
              <w:left w:val="nil"/>
              <w:bottom w:val="single" w:sz="4" w:space="0" w:color="auto"/>
              <w:right w:val="single" w:sz="4" w:space="0" w:color="auto"/>
            </w:tcBorders>
            <w:shd w:val="clear" w:color="auto" w:fill="auto"/>
            <w:hideMark/>
          </w:tcPr>
          <w:p w:rsidR="0009267B" w:rsidRPr="00C90523" w:rsidRDefault="00B40196" w:rsidP="00694094">
            <w:pPr>
              <w:spacing w:after="0" w:line="240" w:lineRule="auto"/>
              <w:rPr>
                <w:rFonts w:ascii="Calibri" w:eastAsia="Times New Roman" w:hAnsi="Calibri" w:cs="Times New Roman"/>
                <w:color w:val="000000"/>
                <w:sz w:val="20"/>
                <w:szCs w:val="20"/>
                <w:lang w:eastAsia="es-ES"/>
              </w:rPr>
            </w:pPr>
            <w:r w:rsidRPr="00B40196">
              <w:rPr>
                <w:rFonts w:ascii="Calibri" w:eastAsia="Times New Roman" w:hAnsi="Calibri" w:cs="Times New Roman"/>
                <w:color w:val="000000"/>
                <w:sz w:val="20"/>
                <w:szCs w:val="20"/>
                <w:lang w:eastAsia="es-ES"/>
              </w:rPr>
              <w:t xml:space="preserve">Célula de execução do plano integrado de Educação, Formação e Emprego </w:t>
            </w:r>
            <w:r w:rsidR="006568A3" w:rsidRPr="006568A3">
              <w:rPr>
                <w:rFonts w:ascii="Calibri" w:eastAsia="Times New Roman" w:hAnsi="Calibri" w:cs="Times New Roman"/>
                <w:color w:val="000000"/>
                <w:sz w:val="20"/>
                <w:szCs w:val="20"/>
                <w:lang w:eastAsia="es-ES"/>
              </w:rPr>
              <w:t>/</w:t>
            </w:r>
            <w:r w:rsidR="006568A3" w:rsidRPr="006568A3">
              <w:t xml:space="preserve"> </w:t>
            </w:r>
            <w:r w:rsidR="006568A3" w:rsidRPr="006568A3">
              <w:rPr>
                <w:rFonts w:ascii="Calibri" w:eastAsia="Times New Roman" w:hAnsi="Calibri" w:cs="Times New Roman"/>
                <w:color w:val="000000"/>
                <w:sz w:val="20"/>
                <w:szCs w:val="20"/>
                <w:lang w:eastAsia="es-ES"/>
              </w:rPr>
              <w:t>MJEDRH</w:t>
            </w:r>
          </w:p>
        </w:tc>
        <w:tc>
          <w:tcPr>
            <w:tcW w:w="2281" w:type="dxa"/>
            <w:tcBorders>
              <w:top w:val="nil"/>
              <w:left w:val="nil"/>
              <w:bottom w:val="single" w:sz="4" w:space="0" w:color="auto"/>
              <w:right w:val="single" w:sz="4" w:space="0" w:color="auto"/>
            </w:tcBorders>
            <w:shd w:val="clear" w:color="auto" w:fill="auto"/>
            <w:hideMark/>
          </w:tcPr>
          <w:p w:rsidR="0009267B"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IEFP ICIEG, MED, MJEDRH, ADEI, Associações empresariais. ONGs </w:t>
            </w:r>
          </w:p>
        </w:tc>
        <w:tc>
          <w:tcPr>
            <w:tcW w:w="1929" w:type="dxa"/>
            <w:tcBorders>
              <w:top w:val="nil"/>
              <w:left w:val="nil"/>
              <w:bottom w:val="single" w:sz="4" w:space="0" w:color="auto"/>
              <w:right w:val="single" w:sz="4" w:space="0" w:color="auto"/>
            </w:tcBorders>
            <w:shd w:val="clear" w:color="auto" w:fill="auto"/>
            <w:hideMark/>
          </w:tcPr>
          <w:p w:rsidR="000B1BD7" w:rsidRPr="00C90523" w:rsidRDefault="006568A3" w:rsidP="000B1BD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Plano integrado de ensino técnico e profissional</w:t>
            </w:r>
          </w:p>
          <w:p w:rsidR="0009267B" w:rsidRPr="00C90523" w:rsidRDefault="006568A3" w:rsidP="000B1BD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Novo Plano estratégico de Educação.</w:t>
            </w:r>
          </w:p>
        </w:tc>
        <w:tc>
          <w:tcPr>
            <w:tcW w:w="2551" w:type="dxa"/>
            <w:tcBorders>
              <w:top w:val="nil"/>
              <w:left w:val="nil"/>
              <w:bottom w:val="single" w:sz="4" w:space="0" w:color="auto"/>
              <w:right w:val="single" w:sz="4" w:space="0" w:color="auto"/>
            </w:tcBorders>
            <w:shd w:val="clear" w:color="auto" w:fill="auto"/>
            <w:hideMark/>
          </w:tcPr>
          <w:p w:rsidR="00812467" w:rsidRPr="00C90523" w:rsidRDefault="006568A3" w:rsidP="0081246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Promoção do emprego e formação profissional.</w:t>
            </w:r>
          </w:p>
          <w:p w:rsidR="0009267B"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Desenvolvimento do ensino técnico e profissional. </w:t>
            </w:r>
          </w:p>
        </w:tc>
      </w:tr>
      <w:tr w:rsidR="003875A6" w:rsidRPr="00C90523" w:rsidTr="007D2440">
        <w:trPr>
          <w:trHeight w:val="843"/>
        </w:trPr>
        <w:tc>
          <w:tcPr>
            <w:tcW w:w="433" w:type="dxa"/>
            <w:vMerge/>
            <w:tcBorders>
              <w:top w:val="single" w:sz="4" w:space="0" w:color="000000"/>
              <w:left w:val="single" w:sz="4" w:space="0" w:color="auto"/>
              <w:bottom w:val="single" w:sz="4" w:space="0" w:color="000000"/>
            </w:tcBorders>
            <w:vAlign w:val="center"/>
            <w:hideMark/>
          </w:tcPr>
          <w:p w:rsidR="003875A6" w:rsidRPr="00C90523" w:rsidRDefault="003875A6"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3875A6" w:rsidRPr="00C90523" w:rsidRDefault="003875A6"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3875A6" w:rsidRPr="00C90523" w:rsidRDefault="006568A3" w:rsidP="0009267B">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4.2.3</w:t>
            </w:r>
          </w:p>
        </w:tc>
        <w:tc>
          <w:tcPr>
            <w:tcW w:w="3497" w:type="dxa"/>
            <w:tcBorders>
              <w:top w:val="nil"/>
              <w:left w:val="nil"/>
              <w:bottom w:val="single" w:sz="4" w:space="0" w:color="auto"/>
              <w:right w:val="single" w:sz="4" w:space="0" w:color="auto"/>
            </w:tcBorders>
            <w:shd w:val="clear" w:color="auto" w:fill="auto"/>
            <w:hideMark/>
          </w:tcPr>
          <w:p w:rsidR="003875A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hAnsi="Calibri"/>
                <w:color w:val="000000"/>
                <w:sz w:val="20"/>
                <w:szCs w:val="20"/>
              </w:rPr>
              <w:t>Desenvolver uma campanha de sensibilização visando às mulheres sobre a empregabilidade de áreas de ponta.</w:t>
            </w:r>
          </w:p>
        </w:tc>
        <w:tc>
          <w:tcPr>
            <w:tcW w:w="1438" w:type="dxa"/>
            <w:tcBorders>
              <w:top w:val="nil"/>
              <w:left w:val="nil"/>
              <w:bottom w:val="single" w:sz="4" w:space="0" w:color="auto"/>
              <w:right w:val="single" w:sz="4" w:space="0" w:color="auto"/>
            </w:tcBorders>
            <w:shd w:val="clear" w:color="auto" w:fill="auto"/>
            <w:hideMark/>
          </w:tcPr>
          <w:p w:rsidR="003875A6" w:rsidRPr="00C90523" w:rsidRDefault="003875A6" w:rsidP="00B007FE">
            <w:pPr>
              <w:spacing w:after="0" w:line="240" w:lineRule="auto"/>
              <w:rPr>
                <w:rFonts w:ascii="Calibri" w:eastAsia="Times New Roman" w:hAnsi="Calibri" w:cs="Times New Roman"/>
                <w:color w:val="000000"/>
                <w:sz w:val="20"/>
                <w:szCs w:val="20"/>
                <w:lang w:eastAsia="es-ES"/>
              </w:rPr>
            </w:pPr>
            <w:r w:rsidRPr="00C90523">
              <w:rPr>
                <w:rFonts w:ascii="Calibri" w:hAnsi="Calibri"/>
                <w:color w:val="000000"/>
                <w:sz w:val="20"/>
                <w:szCs w:val="20"/>
              </w:rPr>
              <w:t>2016</w:t>
            </w:r>
          </w:p>
        </w:tc>
        <w:tc>
          <w:tcPr>
            <w:tcW w:w="1440" w:type="dxa"/>
            <w:tcBorders>
              <w:top w:val="nil"/>
              <w:left w:val="nil"/>
              <w:bottom w:val="single" w:sz="4" w:space="0" w:color="auto"/>
              <w:right w:val="single" w:sz="4" w:space="0" w:color="auto"/>
            </w:tcBorders>
            <w:shd w:val="clear" w:color="auto" w:fill="auto"/>
            <w:hideMark/>
          </w:tcPr>
          <w:p w:rsidR="003875A6" w:rsidRPr="00C90523" w:rsidRDefault="003875A6" w:rsidP="00B007FE">
            <w:pPr>
              <w:spacing w:after="0" w:line="240" w:lineRule="auto"/>
              <w:rPr>
                <w:rFonts w:ascii="Calibri" w:eastAsia="Times New Roman" w:hAnsi="Calibri" w:cs="Times New Roman"/>
                <w:color w:val="000000"/>
                <w:sz w:val="20"/>
                <w:szCs w:val="20"/>
                <w:lang w:eastAsia="es-ES"/>
              </w:rPr>
            </w:pPr>
            <w:r w:rsidRPr="00C90523">
              <w:rPr>
                <w:rFonts w:ascii="Calibri" w:hAnsi="Calibri"/>
                <w:color w:val="000000"/>
                <w:sz w:val="20"/>
                <w:szCs w:val="20"/>
              </w:rPr>
              <w:t>IEFP</w:t>
            </w:r>
          </w:p>
        </w:tc>
        <w:tc>
          <w:tcPr>
            <w:tcW w:w="2281" w:type="dxa"/>
            <w:tcBorders>
              <w:top w:val="nil"/>
              <w:left w:val="nil"/>
              <w:bottom w:val="single" w:sz="4" w:space="0" w:color="auto"/>
              <w:right w:val="single" w:sz="4" w:space="0" w:color="auto"/>
            </w:tcBorders>
            <w:shd w:val="clear" w:color="auto" w:fill="auto"/>
            <w:hideMark/>
          </w:tcPr>
          <w:p w:rsidR="003875A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hAnsi="Calibri"/>
                <w:color w:val="000000"/>
                <w:sz w:val="20"/>
                <w:szCs w:val="20"/>
              </w:rPr>
              <w:t xml:space="preserve">IEFP, ICIEG, MED, MJEDRH, MDR, CPE, AJEC, Liceus, Universidades ONGs,  </w:t>
            </w:r>
            <w:r w:rsidRPr="006568A3">
              <w:rPr>
                <w:rFonts w:ascii="Calibri" w:eastAsia="Times New Roman" w:hAnsi="Calibri" w:cs="Times New Roman"/>
                <w:color w:val="000000"/>
                <w:sz w:val="20"/>
                <w:szCs w:val="20"/>
                <w:lang w:eastAsia="es-ES"/>
              </w:rPr>
              <w:t>ECREEE/CEREEC</w:t>
            </w:r>
            <w:r w:rsidRPr="006568A3">
              <w:rPr>
                <w:rFonts w:ascii="Calibri" w:hAnsi="Calibri"/>
                <w:color w:val="000000"/>
                <w:sz w:val="20"/>
                <w:szCs w:val="20"/>
              </w:rPr>
              <w:t>.</w:t>
            </w:r>
          </w:p>
        </w:tc>
        <w:tc>
          <w:tcPr>
            <w:tcW w:w="1929" w:type="dxa"/>
            <w:tcBorders>
              <w:top w:val="nil"/>
              <w:left w:val="nil"/>
              <w:bottom w:val="single" w:sz="4" w:space="0" w:color="auto"/>
              <w:right w:val="single" w:sz="4" w:space="0" w:color="auto"/>
            </w:tcBorders>
            <w:shd w:val="clear" w:color="auto" w:fill="auto"/>
            <w:hideMark/>
          </w:tcPr>
          <w:p w:rsidR="003875A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hAnsi="Calibri"/>
                <w:color w:val="000000"/>
                <w:sz w:val="20"/>
                <w:szCs w:val="20"/>
              </w:rPr>
              <w:t> </w:t>
            </w:r>
          </w:p>
        </w:tc>
        <w:tc>
          <w:tcPr>
            <w:tcW w:w="2551" w:type="dxa"/>
            <w:tcBorders>
              <w:top w:val="nil"/>
              <w:left w:val="nil"/>
              <w:bottom w:val="single" w:sz="4" w:space="0" w:color="auto"/>
              <w:right w:val="single" w:sz="4" w:space="0" w:color="auto"/>
            </w:tcBorders>
            <w:shd w:val="clear" w:color="auto" w:fill="auto"/>
            <w:hideMark/>
          </w:tcPr>
          <w:p w:rsidR="003875A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hAnsi="Calibri"/>
                <w:color w:val="000000"/>
                <w:sz w:val="20"/>
                <w:szCs w:val="20"/>
              </w:rPr>
              <w:t xml:space="preserve">* Promoção do emprego e formação profissional. </w:t>
            </w:r>
          </w:p>
        </w:tc>
      </w:tr>
      <w:tr w:rsidR="00C270CD" w:rsidRPr="00C90523" w:rsidTr="007D2440">
        <w:trPr>
          <w:trHeight w:val="932"/>
        </w:trPr>
        <w:tc>
          <w:tcPr>
            <w:tcW w:w="433" w:type="dxa"/>
            <w:vMerge w:val="restart"/>
            <w:tcBorders>
              <w:top w:val="single" w:sz="4" w:space="0" w:color="000000"/>
              <w:left w:val="single" w:sz="4" w:space="0" w:color="auto"/>
            </w:tcBorders>
            <w:shd w:val="clear" w:color="auto" w:fill="auto"/>
            <w:hideMark/>
          </w:tcPr>
          <w:p w:rsidR="00C270CD"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4.3</w:t>
            </w:r>
          </w:p>
        </w:tc>
        <w:tc>
          <w:tcPr>
            <w:tcW w:w="2261" w:type="dxa"/>
            <w:vMerge w:val="restart"/>
            <w:tcBorders>
              <w:top w:val="nil"/>
              <w:left w:val="nil"/>
              <w:right w:val="single" w:sz="4" w:space="0" w:color="auto"/>
            </w:tcBorders>
            <w:shd w:val="clear" w:color="auto" w:fill="auto"/>
            <w:hideMark/>
          </w:tcPr>
          <w:p w:rsidR="00C270CD" w:rsidRPr="00C90523" w:rsidRDefault="006568A3" w:rsidP="00C270CD">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Melhoradas as condições para mudar às dinâmicas sociais e a descriminação que bloqueiam o acesso das mulheres, ao emprego digno.</w:t>
            </w:r>
          </w:p>
        </w:tc>
        <w:tc>
          <w:tcPr>
            <w:tcW w:w="613" w:type="dxa"/>
            <w:tcBorders>
              <w:top w:val="nil"/>
              <w:left w:val="nil"/>
              <w:bottom w:val="single" w:sz="4" w:space="0" w:color="auto"/>
              <w:right w:val="nil"/>
            </w:tcBorders>
            <w:shd w:val="clear" w:color="auto" w:fill="auto"/>
            <w:hideMark/>
          </w:tcPr>
          <w:p w:rsidR="00C270CD"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4.3.1</w:t>
            </w:r>
          </w:p>
        </w:tc>
        <w:tc>
          <w:tcPr>
            <w:tcW w:w="3497"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Elaborar uma análise dos estereótipos de género e dinâmicas sociais, incluindo de descriminação na contratação, que impedem o acesso das mulheres ao emprego.</w:t>
            </w:r>
          </w:p>
        </w:tc>
        <w:tc>
          <w:tcPr>
            <w:tcW w:w="1438" w:type="dxa"/>
            <w:tcBorders>
              <w:top w:val="nil"/>
              <w:left w:val="nil"/>
              <w:bottom w:val="single" w:sz="4" w:space="0" w:color="auto"/>
              <w:right w:val="single" w:sz="4" w:space="0" w:color="auto"/>
            </w:tcBorders>
            <w:shd w:val="clear" w:color="auto" w:fill="auto"/>
            <w:hideMark/>
          </w:tcPr>
          <w:p w:rsidR="00C270CD" w:rsidRPr="00C90523" w:rsidRDefault="006568A3" w:rsidP="006A236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w:t>
            </w:r>
          </w:p>
        </w:tc>
        <w:tc>
          <w:tcPr>
            <w:tcW w:w="1440"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IEFP &amp; DGTE</w:t>
            </w:r>
          </w:p>
        </w:tc>
        <w:tc>
          <w:tcPr>
            <w:tcW w:w="2281"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MED, MJEDRH, UniCV, ONGs,  parceiros internacionais</w:t>
            </w:r>
          </w:p>
        </w:tc>
        <w:tc>
          <w:tcPr>
            <w:tcW w:w="1929"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w:t>
            </w:r>
          </w:p>
        </w:tc>
        <w:tc>
          <w:tcPr>
            <w:tcW w:w="2551"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Promoção do emprego e formação profissional. </w:t>
            </w:r>
          </w:p>
        </w:tc>
      </w:tr>
      <w:tr w:rsidR="00C270CD" w:rsidRPr="00C90523" w:rsidTr="007D2440">
        <w:trPr>
          <w:trHeight w:val="790"/>
        </w:trPr>
        <w:tc>
          <w:tcPr>
            <w:tcW w:w="433" w:type="dxa"/>
            <w:vMerge/>
            <w:tcBorders>
              <w:left w:val="single" w:sz="4" w:space="0" w:color="auto"/>
            </w:tcBorders>
            <w:vAlign w:val="center"/>
            <w:hideMark/>
          </w:tcPr>
          <w:p w:rsidR="00C270CD" w:rsidRPr="00C90523" w:rsidRDefault="00C270CD" w:rsidP="00B007FE">
            <w:pPr>
              <w:spacing w:after="0" w:line="240" w:lineRule="auto"/>
              <w:rPr>
                <w:rFonts w:ascii="Calibri" w:eastAsia="Times New Roman" w:hAnsi="Calibri" w:cs="Times New Roman"/>
                <w:color w:val="000000"/>
                <w:sz w:val="20"/>
                <w:szCs w:val="20"/>
                <w:lang w:eastAsia="es-ES"/>
              </w:rPr>
            </w:pPr>
          </w:p>
        </w:tc>
        <w:tc>
          <w:tcPr>
            <w:tcW w:w="2261" w:type="dxa"/>
            <w:vMerge/>
            <w:tcBorders>
              <w:left w:val="nil"/>
              <w:right w:val="single" w:sz="4" w:space="0" w:color="auto"/>
            </w:tcBorders>
            <w:vAlign w:val="center"/>
            <w:hideMark/>
          </w:tcPr>
          <w:p w:rsidR="00C270CD" w:rsidRPr="00C90523" w:rsidRDefault="00C270CD"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C270CD"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4.3.2</w:t>
            </w:r>
          </w:p>
        </w:tc>
        <w:tc>
          <w:tcPr>
            <w:tcW w:w="3497"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Desenhar e implementar campanha de sensibilização orientadas aos empregadores com enfoque na redução dos estereótipos de género no mundo laboral.</w:t>
            </w:r>
          </w:p>
        </w:tc>
        <w:tc>
          <w:tcPr>
            <w:tcW w:w="1438"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2018</w:t>
            </w:r>
          </w:p>
        </w:tc>
        <w:tc>
          <w:tcPr>
            <w:tcW w:w="1440"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IEFP &amp; DGTE</w:t>
            </w:r>
          </w:p>
        </w:tc>
        <w:tc>
          <w:tcPr>
            <w:tcW w:w="2281" w:type="dxa"/>
            <w:tcBorders>
              <w:top w:val="nil"/>
              <w:left w:val="nil"/>
              <w:bottom w:val="single" w:sz="4" w:space="0" w:color="auto"/>
              <w:right w:val="single" w:sz="4" w:space="0" w:color="auto"/>
            </w:tcBorders>
            <w:shd w:val="clear" w:color="auto" w:fill="auto"/>
            <w:hideMark/>
          </w:tcPr>
          <w:p w:rsidR="00C270CD" w:rsidRPr="00C90523" w:rsidRDefault="006568A3" w:rsidP="00C12188">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ICIEG, MED, MJEDRH, ONGs, Câmaras de comércio, Associações empresariais/profissionais </w:t>
            </w:r>
          </w:p>
        </w:tc>
        <w:tc>
          <w:tcPr>
            <w:tcW w:w="1929"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w:t>
            </w:r>
          </w:p>
        </w:tc>
        <w:tc>
          <w:tcPr>
            <w:tcW w:w="2551" w:type="dxa"/>
            <w:tcBorders>
              <w:top w:val="nil"/>
              <w:left w:val="nil"/>
              <w:bottom w:val="single" w:sz="4" w:space="0" w:color="auto"/>
              <w:right w:val="single" w:sz="4" w:space="0" w:color="auto"/>
            </w:tcBorders>
            <w:shd w:val="clear" w:color="auto" w:fill="auto"/>
            <w:hideMark/>
          </w:tcPr>
          <w:p w:rsidR="00C270C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Melhoria das condições de trabalho e das relações entre os parceiros sociais.</w:t>
            </w:r>
          </w:p>
        </w:tc>
      </w:tr>
      <w:tr w:rsidR="006A236E" w:rsidRPr="00C90523" w:rsidTr="007D2440">
        <w:trPr>
          <w:trHeight w:val="1512"/>
        </w:trPr>
        <w:tc>
          <w:tcPr>
            <w:tcW w:w="433" w:type="dxa"/>
            <w:tcBorders>
              <w:left w:val="single" w:sz="4" w:space="0" w:color="auto"/>
              <w:bottom w:val="single" w:sz="4" w:space="0" w:color="000000"/>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2261" w:type="dxa"/>
            <w:vMerge/>
            <w:tcBorders>
              <w:left w:val="nil"/>
              <w:bottom w:val="single" w:sz="4" w:space="0" w:color="000000"/>
              <w:right w:val="single" w:sz="4" w:space="0" w:color="auto"/>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6A236E"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4.3.3</w:t>
            </w:r>
          </w:p>
        </w:tc>
        <w:tc>
          <w:tcPr>
            <w:tcW w:w="3497" w:type="dxa"/>
            <w:tcBorders>
              <w:top w:val="nil"/>
              <w:left w:val="nil"/>
              <w:bottom w:val="single" w:sz="4" w:space="0" w:color="auto"/>
              <w:right w:val="single" w:sz="4" w:space="0" w:color="auto"/>
            </w:tcBorders>
            <w:shd w:val="clear" w:color="auto" w:fill="auto"/>
            <w:hideMark/>
          </w:tcPr>
          <w:p w:rsidR="006A236E" w:rsidRPr="00C90523" w:rsidRDefault="006568A3" w:rsidP="0004627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Promover ações para potenciar as condiciones de emprego digno e dar a conhecer os direitos gerais e específicos das mulheres no âmbito laboral, particularmente as jovens e as empregadas domésticas, tomando em conta tanto o sector formal como informal.</w:t>
            </w:r>
          </w:p>
        </w:tc>
        <w:tc>
          <w:tcPr>
            <w:tcW w:w="1438"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2016-2018</w:t>
            </w:r>
          </w:p>
        </w:tc>
        <w:tc>
          <w:tcPr>
            <w:tcW w:w="1440"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IEFP &amp; DGTE</w:t>
            </w:r>
          </w:p>
        </w:tc>
        <w:tc>
          <w:tcPr>
            <w:tcW w:w="2281"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MJEDRH, Casas de Direito, MJ, ONGs, Associações empresariais e profissionais, Câmaras de comércio, parceiros internacionais</w:t>
            </w:r>
          </w:p>
        </w:tc>
        <w:tc>
          <w:tcPr>
            <w:tcW w:w="1929"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w:t>
            </w:r>
          </w:p>
        </w:tc>
        <w:tc>
          <w:tcPr>
            <w:tcW w:w="2551"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Melhoria das condições de trabalho e das relações entre os parceiros sociais.</w:t>
            </w:r>
          </w:p>
          <w:p w:rsidR="002013FD"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bCs/>
                <w:color w:val="000000"/>
                <w:sz w:val="20"/>
                <w:szCs w:val="20"/>
                <w:lang w:eastAsia="es-ES"/>
              </w:rPr>
              <w:t xml:space="preserve"> </w:t>
            </w:r>
            <w:r w:rsidRPr="006568A3">
              <w:rPr>
                <w:rFonts w:ascii="Calibri" w:eastAsia="Times New Roman" w:hAnsi="Calibri" w:cs="Times New Roman"/>
                <w:color w:val="000000"/>
                <w:sz w:val="20"/>
                <w:szCs w:val="20"/>
                <w:lang w:eastAsia="es-ES"/>
              </w:rPr>
              <w:t xml:space="preserve">* </w:t>
            </w:r>
            <w:r w:rsidRPr="006568A3">
              <w:rPr>
                <w:rFonts w:ascii="Calibri" w:eastAsia="Times New Roman" w:hAnsi="Calibri" w:cs="Times New Roman"/>
                <w:bCs/>
                <w:color w:val="000000"/>
                <w:sz w:val="20"/>
                <w:szCs w:val="20"/>
                <w:lang w:eastAsia="es-ES"/>
              </w:rPr>
              <w:t>Protecção dos direitos dos cidadãos.</w:t>
            </w:r>
          </w:p>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w:t>
            </w:r>
          </w:p>
        </w:tc>
      </w:tr>
      <w:tr w:rsidR="006A236E" w:rsidRPr="00C90523" w:rsidTr="007D2440">
        <w:trPr>
          <w:trHeight w:val="887"/>
        </w:trPr>
        <w:tc>
          <w:tcPr>
            <w:tcW w:w="433" w:type="dxa"/>
            <w:vMerge w:val="restart"/>
            <w:tcBorders>
              <w:top w:val="single" w:sz="4" w:space="0" w:color="000000"/>
              <w:left w:val="single" w:sz="4" w:space="0" w:color="auto"/>
              <w:bottom w:val="single" w:sz="4" w:space="0" w:color="000000"/>
            </w:tcBorders>
            <w:shd w:val="clear" w:color="auto" w:fill="auto"/>
            <w:hideMark/>
          </w:tcPr>
          <w:p w:rsidR="006A236E"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w:t>
            </w:r>
          </w:p>
        </w:tc>
        <w:tc>
          <w:tcPr>
            <w:tcW w:w="2261" w:type="dxa"/>
            <w:vMerge w:val="restart"/>
            <w:tcBorders>
              <w:top w:val="nil"/>
              <w:left w:val="nil"/>
              <w:bottom w:val="single" w:sz="4" w:space="0" w:color="000000"/>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Aumentado o apoio às mulheres rurais e peri-urbanas no âmbito dos programas de luta contra a pobreza e melhoraria da segurança alimentar para a melhoria das condições de vida desde uma perspectiva de género.</w:t>
            </w:r>
          </w:p>
        </w:tc>
        <w:tc>
          <w:tcPr>
            <w:tcW w:w="613" w:type="dxa"/>
            <w:tcBorders>
              <w:top w:val="nil"/>
              <w:left w:val="nil"/>
              <w:bottom w:val="single" w:sz="4" w:space="0" w:color="auto"/>
              <w:right w:val="nil"/>
            </w:tcBorders>
            <w:shd w:val="clear" w:color="auto" w:fill="auto"/>
            <w:hideMark/>
          </w:tcPr>
          <w:p w:rsidR="006A236E"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4.4.1</w:t>
            </w:r>
          </w:p>
        </w:tc>
        <w:tc>
          <w:tcPr>
            <w:tcW w:w="3497" w:type="dxa"/>
            <w:tcBorders>
              <w:top w:val="nil"/>
              <w:left w:val="nil"/>
              <w:bottom w:val="single" w:sz="4" w:space="0" w:color="auto"/>
              <w:right w:val="single" w:sz="4" w:space="0" w:color="auto"/>
            </w:tcBorders>
            <w:shd w:val="clear" w:color="auto" w:fill="auto"/>
            <w:hideMark/>
          </w:tcPr>
          <w:p w:rsidR="006A236E" w:rsidRPr="00C90523" w:rsidRDefault="006568A3" w:rsidP="001F2EA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Elaborar uma caracterização do acesso à terra, à água, à energia, ao crédito e aos serviços de micro-finanzas das mulheres rurais e elaborar propostas de intervenção.</w:t>
            </w:r>
          </w:p>
        </w:tc>
        <w:tc>
          <w:tcPr>
            <w:tcW w:w="1438"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tc>
        <w:tc>
          <w:tcPr>
            <w:tcW w:w="1440"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MDR</w:t>
            </w:r>
          </w:p>
        </w:tc>
        <w:tc>
          <w:tcPr>
            <w:tcW w:w="2281"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INE, UniCV, MORABI, IMFs, parceiros internacionais</w:t>
            </w:r>
          </w:p>
        </w:tc>
        <w:tc>
          <w:tcPr>
            <w:tcW w:w="1929"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w:t>
            </w:r>
          </w:p>
        </w:tc>
        <w:tc>
          <w:tcPr>
            <w:tcW w:w="2551" w:type="dxa"/>
            <w:tcBorders>
              <w:top w:val="nil"/>
              <w:left w:val="nil"/>
              <w:bottom w:val="single" w:sz="4" w:space="0" w:color="auto"/>
              <w:right w:val="single" w:sz="4" w:space="0" w:color="auto"/>
            </w:tcBorders>
            <w:shd w:val="clear" w:color="auto" w:fill="auto"/>
            <w:hideMark/>
          </w:tcPr>
          <w:p w:rsidR="006A236E" w:rsidRPr="00C90523" w:rsidRDefault="006568A3" w:rsidP="001D73A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*Promoção do direito a alimentação e acesso aos serviços sociais.</w:t>
            </w:r>
          </w:p>
        </w:tc>
      </w:tr>
      <w:tr w:rsidR="006A236E" w:rsidRPr="00C90523" w:rsidTr="007D2440">
        <w:trPr>
          <w:trHeight w:val="887"/>
        </w:trPr>
        <w:tc>
          <w:tcPr>
            <w:tcW w:w="433" w:type="dxa"/>
            <w:vMerge/>
            <w:tcBorders>
              <w:top w:val="single" w:sz="4" w:space="0" w:color="000000"/>
              <w:left w:val="single" w:sz="4" w:space="0" w:color="auto"/>
              <w:bottom w:val="single" w:sz="4" w:space="0" w:color="000000"/>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6A236E"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4.4.2</w:t>
            </w:r>
          </w:p>
        </w:tc>
        <w:tc>
          <w:tcPr>
            <w:tcW w:w="3497" w:type="dxa"/>
            <w:tcBorders>
              <w:top w:val="nil"/>
              <w:left w:val="nil"/>
              <w:bottom w:val="single" w:sz="4" w:space="0" w:color="auto"/>
              <w:right w:val="single" w:sz="4" w:space="0" w:color="auto"/>
            </w:tcBorders>
            <w:shd w:val="clear" w:color="auto" w:fill="auto"/>
            <w:hideMark/>
          </w:tcPr>
          <w:p w:rsidR="006A236E" w:rsidRPr="00C90523" w:rsidRDefault="006568A3" w:rsidP="00BF6FC3">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Apoiar a realização de diagnósticos de género nas zonas de intervenção do POSER com vista a informar medidas de empoderamento socioeconómico das mulheres rurais</w:t>
            </w:r>
          </w:p>
        </w:tc>
        <w:tc>
          <w:tcPr>
            <w:tcW w:w="1438"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2015-2017</w:t>
            </w:r>
          </w:p>
        </w:tc>
        <w:tc>
          <w:tcPr>
            <w:tcW w:w="1440" w:type="dxa"/>
            <w:tcBorders>
              <w:top w:val="nil"/>
              <w:left w:val="nil"/>
              <w:bottom w:val="single" w:sz="4" w:space="0" w:color="auto"/>
              <w:right w:val="single" w:sz="4" w:space="0" w:color="auto"/>
            </w:tcBorders>
            <w:shd w:val="clear" w:color="auto" w:fill="auto"/>
            <w:hideMark/>
          </w:tcPr>
          <w:p w:rsidR="006A236E" w:rsidRPr="00C90523" w:rsidRDefault="006568A3" w:rsidP="00E9147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Unidade de Implementação POSER/MJEDRH</w:t>
            </w:r>
          </w:p>
        </w:tc>
        <w:tc>
          <w:tcPr>
            <w:tcW w:w="2281"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CRP, MJEDRH Associações locais</w:t>
            </w:r>
          </w:p>
        </w:tc>
        <w:tc>
          <w:tcPr>
            <w:tcW w:w="1929"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POSER</w:t>
            </w:r>
          </w:p>
        </w:tc>
        <w:tc>
          <w:tcPr>
            <w:tcW w:w="2551" w:type="dxa"/>
            <w:tcBorders>
              <w:top w:val="nil"/>
              <w:left w:val="nil"/>
              <w:bottom w:val="single" w:sz="4" w:space="0" w:color="auto"/>
              <w:right w:val="single" w:sz="4" w:space="0" w:color="auto"/>
            </w:tcBorders>
            <w:shd w:val="clear" w:color="auto" w:fill="auto"/>
            <w:hideMark/>
          </w:tcPr>
          <w:p w:rsidR="006A236E" w:rsidRPr="00C90523" w:rsidRDefault="006568A3" w:rsidP="001D73A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*Acesso aos pobres dos serviços sociais de base e ao rendimento.</w:t>
            </w:r>
          </w:p>
        </w:tc>
      </w:tr>
      <w:tr w:rsidR="006A236E" w:rsidRPr="00C90523" w:rsidTr="007D2440">
        <w:trPr>
          <w:trHeight w:val="1408"/>
        </w:trPr>
        <w:tc>
          <w:tcPr>
            <w:tcW w:w="433" w:type="dxa"/>
            <w:vMerge/>
            <w:tcBorders>
              <w:top w:val="single" w:sz="4" w:space="0" w:color="000000"/>
              <w:left w:val="single" w:sz="4" w:space="0" w:color="auto"/>
              <w:bottom w:val="single" w:sz="4" w:space="0" w:color="000000"/>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6A236E"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4.4.3</w:t>
            </w:r>
          </w:p>
        </w:tc>
        <w:tc>
          <w:tcPr>
            <w:tcW w:w="3497"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Analisar os constrangimentos de género na agricultura, tendo em conta a sua importância no contexto da segurança alimentar e implementação de medidas de apoio no quadro dos programas em curso (bacias hidrográficas, agronegócios, etc.)</w:t>
            </w:r>
          </w:p>
        </w:tc>
        <w:tc>
          <w:tcPr>
            <w:tcW w:w="1438"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440"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MDR</w:t>
            </w:r>
          </w:p>
        </w:tc>
        <w:tc>
          <w:tcPr>
            <w:tcW w:w="2281" w:type="dxa"/>
            <w:tcBorders>
              <w:top w:val="nil"/>
              <w:left w:val="nil"/>
              <w:bottom w:val="single" w:sz="4" w:space="0" w:color="auto"/>
              <w:right w:val="single" w:sz="4" w:space="0" w:color="auto"/>
            </w:tcBorders>
            <w:shd w:val="clear" w:color="auto" w:fill="auto"/>
            <w:hideMark/>
          </w:tcPr>
          <w:p w:rsidR="006A236E" w:rsidRPr="00C90523" w:rsidRDefault="006568A3" w:rsidP="00E9147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Unidade de Implementação POSER/MJEDRH, ICIEG</w:t>
            </w:r>
          </w:p>
        </w:tc>
        <w:tc>
          <w:tcPr>
            <w:tcW w:w="1929"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POSER</w:t>
            </w:r>
          </w:p>
          <w:p w:rsidR="006A236E" w:rsidRPr="00C90523" w:rsidRDefault="006568A3" w:rsidP="00C12188">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Projecto de ordenamento das bacias hidrográficas </w:t>
            </w:r>
          </w:p>
        </w:tc>
        <w:tc>
          <w:tcPr>
            <w:tcW w:w="2551"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Promoção do direito a alimentação e acesso aos serviços sociais.</w:t>
            </w:r>
          </w:p>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do agro-negócio e das fileiras agro-pecuárias.</w:t>
            </w:r>
          </w:p>
          <w:p w:rsidR="006A236E" w:rsidRPr="00C90523" w:rsidRDefault="006568A3" w:rsidP="001D73A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*Mobilização de água e ordenamento das bacias hidrográficas.</w:t>
            </w:r>
          </w:p>
        </w:tc>
      </w:tr>
      <w:tr w:rsidR="006A236E" w:rsidRPr="00C90523" w:rsidTr="007D2440">
        <w:trPr>
          <w:trHeight w:val="1357"/>
        </w:trPr>
        <w:tc>
          <w:tcPr>
            <w:tcW w:w="433" w:type="dxa"/>
            <w:vMerge/>
            <w:tcBorders>
              <w:top w:val="single" w:sz="4" w:space="0" w:color="000000"/>
              <w:left w:val="single" w:sz="4" w:space="0" w:color="auto"/>
              <w:bottom w:val="single" w:sz="4" w:space="0" w:color="000000"/>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2261" w:type="dxa"/>
            <w:vMerge/>
            <w:tcBorders>
              <w:top w:val="nil"/>
              <w:left w:val="nil"/>
              <w:bottom w:val="single" w:sz="4" w:space="0" w:color="000000"/>
              <w:right w:val="single" w:sz="4" w:space="0" w:color="auto"/>
            </w:tcBorders>
            <w:vAlign w:val="center"/>
            <w:hideMark/>
          </w:tcPr>
          <w:p w:rsidR="006A236E" w:rsidRPr="00C90523" w:rsidRDefault="006A236E" w:rsidP="00B007FE">
            <w:pPr>
              <w:spacing w:after="0" w:line="240" w:lineRule="auto"/>
              <w:rPr>
                <w:rFonts w:ascii="Calibri" w:eastAsia="Times New Roman" w:hAnsi="Calibri" w:cs="Times New Roman"/>
                <w:color w:val="000000"/>
                <w:sz w:val="20"/>
                <w:szCs w:val="20"/>
                <w:lang w:eastAsia="es-ES"/>
              </w:rPr>
            </w:pPr>
          </w:p>
        </w:tc>
        <w:tc>
          <w:tcPr>
            <w:tcW w:w="613" w:type="dxa"/>
            <w:tcBorders>
              <w:top w:val="nil"/>
              <w:left w:val="nil"/>
              <w:bottom w:val="single" w:sz="4" w:space="0" w:color="auto"/>
              <w:right w:val="nil"/>
            </w:tcBorders>
            <w:shd w:val="clear" w:color="auto" w:fill="auto"/>
            <w:hideMark/>
          </w:tcPr>
          <w:p w:rsidR="006A236E"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4.4.4</w:t>
            </w:r>
          </w:p>
        </w:tc>
        <w:tc>
          <w:tcPr>
            <w:tcW w:w="3497" w:type="dxa"/>
            <w:tcBorders>
              <w:top w:val="nil"/>
              <w:left w:val="nil"/>
              <w:bottom w:val="single" w:sz="4" w:space="0" w:color="auto"/>
              <w:right w:val="single" w:sz="4" w:space="0" w:color="auto"/>
            </w:tcBorders>
            <w:shd w:val="clear" w:color="auto" w:fill="auto"/>
            <w:hideMark/>
          </w:tcPr>
          <w:p w:rsidR="006A236E" w:rsidRPr="00C90523" w:rsidRDefault="006568A3" w:rsidP="0079498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Criar uma linha especial dentro do fundo de ambiente para projectos que visem ao desenho der alternativas económicas para as mulheres que não impliquem a exploração insustentável dos recursos naturais (reconversão de actividades tais como a apanha de areia, etc.) </w:t>
            </w:r>
          </w:p>
        </w:tc>
        <w:tc>
          <w:tcPr>
            <w:tcW w:w="1438"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440"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DGA-MAHOT</w:t>
            </w:r>
          </w:p>
        </w:tc>
        <w:tc>
          <w:tcPr>
            <w:tcW w:w="2281" w:type="dxa"/>
            <w:tcBorders>
              <w:top w:val="nil"/>
              <w:left w:val="nil"/>
              <w:bottom w:val="single" w:sz="4" w:space="0" w:color="auto"/>
              <w:right w:val="single" w:sz="4" w:space="0" w:color="auto"/>
            </w:tcBorders>
            <w:shd w:val="clear" w:color="auto" w:fill="auto"/>
            <w:hideMark/>
          </w:tcPr>
          <w:p w:rsidR="006A236E" w:rsidRPr="00C90523" w:rsidRDefault="006568A3" w:rsidP="00EE5F1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Gestão de áreas protegidas (MAHOT),ICIEG,  Unidade de Implementação POSER, MORABI, OMCV, ADAD, parceiros internacionais </w:t>
            </w:r>
          </w:p>
        </w:tc>
        <w:tc>
          <w:tcPr>
            <w:tcW w:w="1929" w:type="dxa"/>
            <w:tcBorders>
              <w:top w:val="nil"/>
              <w:left w:val="nil"/>
              <w:bottom w:val="single" w:sz="4" w:space="0" w:color="auto"/>
              <w:right w:val="single" w:sz="4" w:space="0" w:color="auto"/>
            </w:tcBorders>
            <w:shd w:val="clear" w:color="auto" w:fill="auto"/>
            <w:hideMark/>
          </w:tcPr>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Áreas protegidas</w:t>
            </w:r>
            <w:r w:rsidRPr="006568A3">
              <w:rPr>
                <w:rFonts w:ascii="Calibri" w:eastAsia="Times New Roman" w:hAnsi="Calibri" w:cs="Times New Roman"/>
                <w:color w:val="000000"/>
                <w:sz w:val="20"/>
                <w:szCs w:val="20"/>
                <w:lang w:eastAsia="es-ES"/>
              </w:rPr>
              <w:br/>
              <w:t>POSER</w:t>
            </w:r>
          </w:p>
          <w:p w:rsidR="006A236E"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Fundo do ambiente do DGA (Financiamento pela taxa ecológica)</w:t>
            </w:r>
          </w:p>
        </w:tc>
        <w:tc>
          <w:tcPr>
            <w:tcW w:w="2551" w:type="dxa"/>
            <w:tcBorders>
              <w:top w:val="nil"/>
              <w:left w:val="nil"/>
              <w:bottom w:val="single" w:sz="4" w:space="0" w:color="auto"/>
              <w:right w:val="single" w:sz="4" w:space="0" w:color="auto"/>
            </w:tcBorders>
            <w:shd w:val="clear" w:color="auto" w:fill="auto"/>
            <w:hideMark/>
          </w:tcPr>
          <w:p w:rsidR="006A236E" w:rsidRPr="00C90523" w:rsidRDefault="006568A3" w:rsidP="001D73A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*Consolidação e requalificação ambiental.</w:t>
            </w:r>
          </w:p>
        </w:tc>
      </w:tr>
      <w:bookmarkEnd w:id="90"/>
    </w:tbl>
    <w:p w:rsidR="00046270" w:rsidRPr="00C90523" w:rsidRDefault="006568A3">
      <w:r w:rsidRPr="006568A3">
        <w:br w:type="page"/>
      </w:r>
    </w:p>
    <w:tbl>
      <w:tblPr>
        <w:tblW w:w="16585" w:type="dxa"/>
        <w:tblInd w:w="70" w:type="dxa"/>
        <w:tblCellMar>
          <w:left w:w="70" w:type="dxa"/>
          <w:right w:w="70" w:type="dxa"/>
        </w:tblCellMar>
        <w:tblLook w:val="04A0" w:firstRow="1" w:lastRow="0" w:firstColumn="1" w:lastColumn="0" w:noHBand="0" w:noVBand="1"/>
      </w:tblPr>
      <w:tblGrid>
        <w:gridCol w:w="453"/>
        <w:gridCol w:w="1957"/>
        <w:gridCol w:w="646"/>
        <w:gridCol w:w="3464"/>
        <w:gridCol w:w="1438"/>
        <w:gridCol w:w="1397"/>
        <w:gridCol w:w="2268"/>
        <w:gridCol w:w="2127"/>
        <w:gridCol w:w="2835"/>
      </w:tblGrid>
      <w:tr w:rsidR="00F831A4" w:rsidRPr="00C90523" w:rsidTr="00CE5D3D">
        <w:trPr>
          <w:trHeight w:val="300"/>
          <w:tblHeader/>
        </w:trPr>
        <w:tc>
          <w:tcPr>
            <w:tcW w:w="16585" w:type="dxa"/>
            <w:gridSpan w:val="9"/>
            <w:tcBorders>
              <w:top w:val="nil"/>
              <w:left w:val="nil"/>
              <w:bottom w:val="single" w:sz="4" w:space="0" w:color="000000"/>
              <w:right w:val="nil"/>
            </w:tcBorders>
            <w:shd w:val="clear" w:color="auto" w:fill="auto"/>
            <w:vAlign w:val="bottom"/>
            <w:hideMark/>
          </w:tcPr>
          <w:p w:rsidR="00F831A4" w:rsidRPr="00C90523" w:rsidRDefault="006568A3" w:rsidP="00B007FE">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Eixo estratégico: </w:t>
            </w:r>
            <w:r w:rsidRPr="006568A3">
              <w:rPr>
                <w:rFonts w:ascii="Calibri" w:eastAsia="Times New Roman" w:hAnsi="Calibri" w:cs="Times New Roman"/>
                <w:b/>
                <w:bCs/>
                <w:i/>
                <w:iCs/>
                <w:color w:val="000000"/>
                <w:lang w:eastAsia="es-ES"/>
              </w:rPr>
              <w:t xml:space="preserve">Economia Reprodutiva </w:t>
            </w:r>
          </w:p>
        </w:tc>
      </w:tr>
      <w:tr w:rsidR="000372B6" w:rsidRPr="00C90523" w:rsidTr="00CE5D3D">
        <w:trPr>
          <w:trHeight w:val="510"/>
          <w:tblHeader/>
        </w:trPr>
        <w:tc>
          <w:tcPr>
            <w:tcW w:w="2410"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110"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438" w:type="dxa"/>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397" w:type="dxa"/>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 responsável</w:t>
            </w:r>
          </w:p>
        </w:tc>
        <w:tc>
          <w:tcPr>
            <w:tcW w:w="2268" w:type="dxa"/>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Entidades envolvidas</w:t>
            </w:r>
          </w:p>
        </w:tc>
        <w:tc>
          <w:tcPr>
            <w:tcW w:w="2127" w:type="dxa"/>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835" w:type="dxa"/>
            <w:tcBorders>
              <w:top w:val="single" w:sz="4" w:space="0" w:color="000000"/>
              <w:left w:val="single" w:sz="4" w:space="0" w:color="000000"/>
              <w:bottom w:val="single" w:sz="4" w:space="0" w:color="000000"/>
              <w:right w:val="single" w:sz="4" w:space="0" w:color="000000"/>
            </w:tcBorders>
            <w:shd w:val="clear" w:color="000000" w:fill="4F81BD"/>
            <w:hideMark/>
          </w:tcPr>
          <w:p w:rsidR="000372B6"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F831A4" w:rsidRPr="00C90523" w:rsidTr="00CE5D3D">
        <w:trPr>
          <w:trHeight w:val="731"/>
        </w:trPr>
        <w:tc>
          <w:tcPr>
            <w:tcW w:w="453" w:type="dxa"/>
            <w:vMerge w:val="restart"/>
            <w:tcBorders>
              <w:top w:val="single" w:sz="4" w:space="0" w:color="000000"/>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5.1</w:t>
            </w:r>
          </w:p>
        </w:tc>
        <w:tc>
          <w:tcPr>
            <w:tcW w:w="1957" w:type="dxa"/>
            <w:vMerge w:val="restart"/>
            <w:tcBorders>
              <w:top w:val="single" w:sz="4" w:space="0" w:color="000000"/>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Um maior número de dados/estudos evidenciam a contribuição do trabalho não remunerado das mulheres para a economia e bem-estar.  </w:t>
            </w:r>
          </w:p>
        </w:tc>
        <w:tc>
          <w:tcPr>
            <w:tcW w:w="646" w:type="dxa"/>
            <w:tcBorders>
              <w:top w:val="single" w:sz="4" w:space="0" w:color="000000"/>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5.1.1</w:t>
            </w:r>
          </w:p>
        </w:tc>
        <w:tc>
          <w:tcPr>
            <w:tcW w:w="3464"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Apoiar o desenvolvimento da metodologia para o cálculo da contribuição do trabalho não remunerado (TNR) para o PIB e a sua integração nas contas nacionais</w:t>
            </w:r>
          </w:p>
        </w:tc>
        <w:tc>
          <w:tcPr>
            <w:tcW w:w="1438"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tc>
        <w:tc>
          <w:tcPr>
            <w:tcW w:w="1397"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INE</w:t>
            </w:r>
          </w:p>
        </w:tc>
        <w:tc>
          <w:tcPr>
            <w:tcW w:w="2268"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CIGEF/UniCV, MFP, parceiros internacionais</w:t>
            </w:r>
          </w:p>
        </w:tc>
        <w:tc>
          <w:tcPr>
            <w:tcW w:w="2127"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Agenda estatística do INE</w:t>
            </w:r>
          </w:p>
        </w:tc>
        <w:tc>
          <w:tcPr>
            <w:tcW w:w="2835" w:type="dxa"/>
            <w:tcBorders>
              <w:top w:val="single" w:sz="4" w:space="0" w:color="000000"/>
              <w:left w:val="nil"/>
              <w:bottom w:val="single" w:sz="4" w:space="0" w:color="auto"/>
              <w:right w:val="single" w:sz="4" w:space="0" w:color="auto"/>
            </w:tcBorders>
            <w:shd w:val="clear" w:color="auto" w:fill="auto"/>
            <w:hideMark/>
          </w:tcPr>
          <w:p w:rsidR="00F831A4" w:rsidRPr="00C90523" w:rsidRDefault="006568A3" w:rsidP="006D061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do sistema estatístico nacional.</w:t>
            </w:r>
          </w:p>
        </w:tc>
      </w:tr>
      <w:tr w:rsidR="00F831A4" w:rsidRPr="00C90523" w:rsidTr="00CE5D3D">
        <w:trPr>
          <w:trHeight w:val="1298"/>
        </w:trPr>
        <w:tc>
          <w:tcPr>
            <w:tcW w:w="453" w:type="dxa"/>
            <w:vMerge/>
            <w:tcBorders>
              <w:top w:val="nil"/>
              <w:left w:val="single" w:sz="4" w:space="0" w:color="auto"/>
              <w:bottom w:val="single" w:sz="4" w:space="0" w:color="auto"/>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1957"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5.1.2</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Apoiar a elaboração de análises que evidenciem o retorno que investimentos focalizados na área dos cuidados podem ter (geração de emprego, produtividade, consumo, recursos tributários, redução dos gastos sociais a montante).</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64639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2016-2017</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CIGEF/UniCV, INE, parceiros internacionais</w:t>
            </w:r>
          </w:p>
        </w:tc>
        <w:tc>
          <w:tcPr>
            <w:tcW w:w="212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w:t>
            </w:r>
          </w:p>
        </w:tc>
        <w:tc>
          <w:tcPr>
            <w:tcW w:w="2835" w:type="dxa"/>
            <w:tcBorders>
              <w:top w:val="nil"/>
              <w:left w:val="nil"/>
              <w:bottom w:val="single" w:sz="4" w:space="0" w:color="auto"/>
              <w:right w:val="single" w:sz="4" w:space="0" w:color="auto"/>
            </w:tcBorders>
            <w:shd w:val="clear" w:color="auto" w:fill="auto"/>
            <w:hideMark/>
          </w:tcPr>
          <w:p w:rsidR="00F831A4" w:rsidRPr="00C90523" w:rsidRDefault="006568A3" w:rsidP="006D061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*Reforço da igualdade e equidade de género.</w:t>
            </w:r>
          </w:p>
        </w:tc>
      </w:tr>
      <w:tr w:rsidR="00F831A4" w:rsidRPr="00C90523" w:rsidTr="00884075">
        <w:trPr>
          <w:trHeight w:val="2286"/>
        </w:trPr>
        <w:tc>
          <w:tcPr>
            <w:tcW w:w="453" w:type="dxa"/>
            <w:tcBorders>
              <w:top w:val="nil"/>
              <w:left w:val="single" w:sz="4" w:space="0" w:color="auto"/>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5.2</w:t>
            </w:r>
          </w:p>
        </w:tc>
        <w:tc>
          <w:tcPr>
            <w:tcW w:w="195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Aumentada a compreensão da dimensão de pobreza de tempo como elemento que dificulta o acesso ao trabalho remunerado e as suas ligações à pobreza .</w:t>
            </w: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5.2.1</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Apoiar a aplicação da dimensão da pobreza de tempo ao cálculo da pobreza</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w:t>
            </w:r>
            <w:r w:rsidR="00D61A39">
              <w:rPr>
                <w:rFonts w:ascii="Calibri" w:eastAsia="Times New Roman" w:hAnsi="Calibri" w:cs="Times New Roman"/>
                <w:color w:val="000000"/>
                <w:sz w:val="20"/>
                <w:szCs w:val="20"/>
                <w:lang w:eastAsia="es-ES"/>
              </w:rPr>
              <w:t>5-201</w:t>
            </w:r>
            <w:r w:rsidRPr="006568A3">
              <w:rPr>
                <w:rFonts w:ascii="Calibri" w:eastAsia="Times New Roman" w:hAnsi="Calibri" w:cs="Times New Roman"/>
                <w:color w:val="000000"/>
                <w:sz w:val="20"/>
                <w:szCs w:val="20"/>
                <w:lang w:eastAsia="es-ES"/>
              </w:rPr>
              <w:t>6</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INE</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E9147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CIGEF/UniCV, MFP, Unidade de Implementação POSER, MJEDRH, parceiros internacionais</w:t>
            </w:r>
          </w:p>
        </w:tc>
        <w:tc>
          <w:tcPr>
            <w:tcW w:w="212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Agenda estatística do INE</w:t>
            </w:r>
          </w:p>
        </w:tc>
        <w:tc>
          <w:tcPr>
            <w:tcW w:w="2835" w:type="dxa"/>
            <w:tcBorders>
              <w:top w:val="nil"/>
              <w:left w:val="nil"/>
              <w:bottom w:val="single" w:sz="4" w:space="0" w:color="auto"/>
              <w:right w:val="single" w:sz="4" w:space="0" w:color="auto"/>
            </w:tcBorders>
            <w:shd w:val="clear" w:color="auto" w:fill="auto"/>
            <w:hideMark/>
          </w:tcPr>
          <w:p w:rsidR="00F831A4" w:rsidRPr="00C90523" w:rsidRDefault="006568A3" w:rsidP="006D061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do sistema estatístico nacional.</w:t>
            </w:r>
          </w:p>
        </w:tc>
      </w:tr>
      <w:tr w:rsidR="00F831A4" w:rsidRPr="00C90523" w:rsidTr="00CE5D3D">
        <w:trPr>
          <w:trHeight w:val="1719"/>
        </w:trPr>
        <w:tc>
          <w:tcPr>
            <w:tcW w:w="453" w:type="dxa"/>
            <w:vMerge w:val="restart"/>
            <w:tcBorders>
              <w:top w:val="nil"/>
              <w:left w:val="single" w:sz="4" w:space="0" w:color="auto"/>
              <w:bottom w:val="single" w:sz="4" w:space="0" w:color="000000"/>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w:t>
            </w:r>
          </w:p>
        </w:tc>
        <w:tc>
          <w:tcPr>
            <w:tcW w:w="1957" w:type="dxa"/>
            <w:vMerge w:val="restart"/>
            <w:tcBorders>
              <w:top w:val="nil"/>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Medidas que contribuem para a redução do tempo e esforço gasto nas tarefas domésticas e de cuidados são criadas e implementadas.</w:t>
            </w: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5.3.1</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373D32">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Desenvolver medidas de sensibilização em relação a partilha das tarefas domésticas principalmente nas áreas rurais, como parte dos programas de formação e sensibilização de género das actividades de terreno (MDR, POSER)</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64639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2016-2018</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50194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MDR</w:t>
            </w:r>
          </w:p>
        </w:tc>
        <w:tc>
          <w:tcPr>
            <w:tcW w:w="2268" w:type="dxa"/>
            <w:tcBorders>
              <w:top w:val="nil"/>
              <w:left w:val="nil"/>
              <w:bottom w:val="single" w:sz="4" w:space="0" w:color="auto"/>
              <w:right w:val="single" w:sz="4" w:space="0" w:color="auto"/>
            </w:tcBorders>
            <w:shd w:val="clear" w:color="auto" w:fill="auto"/>
            <w:hideMark/>
          </w:tcPr>
          <w:p w:rsidR="00373D32" w:rsidRPr="00C90523" w:rsidRDefault="006568A3" w:rsidP="00373D32">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DGJ-MJEDRH, </w:t>
            </w:r>
          </w:p>
          <w:p w:rsidR="00F831A4" w:rsidRPr="00C90523" w:rsidRDefault="006568A3" w:rsidP="00E9147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Unidade de Implementação POSER- MJEDRH, Delegações do MDR, comissões regionais de parceiros,ICIEG, ONGs, Associações comunitárias</w:t>
            </w:r>
          </w:p>
        </w:tc>
        <w:tc>
          <w:tcPr>
            <w:tcW w:w="2127" w:type="dxa"/>
            <w:tcBorders>
              <w:top w:val="nil"/>
              <w:left w:val="nil"/>
              <w:bottom w:val="single" w:sz="4" w:space="0" w:color="auto"/>
              <w:right w:val="single" w:sz="4" w:space="0" w:color="auto"/>
            </w:tcBorders>
            <w:shd w:val="clear" w:color="auto" w:fill="auto"/>
            <w:hideMark/>
          </w:tcPr>
          <w:p w:rsidR="00F831A4" w:rsidRPr="00C90523" w:rsidRDefault="006568A3" w:rsidP="004A01A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Projecto de ordenamento das bacias hidrográficas, </w:t>
            </w:r>
            <w:r w:rsidRPr="006568A3">
              <w:rPr>
                <w:rFonts w:ascii="Calibri" w:eastAsia="Times New Roman" w:hAnsi="Calibri" w:cs="Times New Roman"/>
                <w:color w:val="000000"/>
                <w:sz w:val="20"/>
                <w:szCs w:val="20"/>
                <w:lang w:eastAsia="es-ES"/>
              </w:rPr>
              <w:br/>
              <w:t>POSER</w:t>
            </w:r>
          </w:p>
        </w:tc>
        <w:tc>
          <w:tcPr>
            <w:tcW w:w="2835"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*Mobilização de água e ordenamento das bacias hidrográficas.</w:t>
            </w:r>
          </w:p>
          <w:p w:rsidR="004A01A4" w:rsidRPr="00C90523" w:rsidRDefault="006568A3" w:rsidP="004A01A4">
            <w:pPr>
              <w:spacing w:line="240" w:lineRule="auto"/>
              <w:rPr>
                <w:color w:val="FF0000"/>
              </w:rPr>
            </w:pPr>
            <w:r w:rsidRPr="006568A3">
              <w:rPr>
                <w:rFonts w:ascii="Calibri" w:eastAsia="Times New Roman" w:hAnsi="Calibri" w:cs="Times New Roman"/>
                <w:color w:val="000000"/>
                <w:sz w:val="20"/>
                <w:szCs w:val="20"/>
                <w:lang w:eastAsia="es-ES"/>
              </w:rPr>
              <w:t>* Acesso aos pobres dos serviços sociais de base e ao rendimento.</w:t>
            </w:r>
          </w:p>
          <w:p w:rsidR="004A01A4" w:rsidRPr="00C90523" w:rsidRDefault="004A01A4" w:rsidP="00B007FE">
            <w:pPr>
              <w:spacing w:after="0" w:line="240" w:lineRule="auto"/>
              <w:rPr>
                <w:rFonts w:ascii="Calibri" w:eastAsia="Times New Roman" w:hAnsi="Calibri" w:cs="Times New Roman"/>
                <w:color w:val="000000"/>
                <w:sz w:val="20"/>
                <w:szCs w:val="20"/>
                <w:lang w:eastAsia="es-ES"/>
              </w:rPr>
            </w:pPr>
          </w:p>
        </w:tc>
      </w:tr>
      <w:tr w:rsidR="00F831A4" w:rsidRPr="00C90523" w:rsidTr="00CE5D3D">
        <w:trPr>
          <w:trHeight w:val="1581"/>
        </w:trPr>
        <w:tc>
          <w:tcPr>
            <w:tcW w:w="453" w:type="dxa"/>
            <w:vMerge/>
            <w:tcBorders>
              <w:top w:val="nil"/>
              <w:left w:val="single" w:sz="4" w:space="0" w:color="auto"/>
              <w:bottom w:val="single" w:sz="4" w:space="0" w:color="000000"/>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1957"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5.3.2</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964456">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Implementação de actividades no fundo de acceso social com vistas a melhoria das   infra-estruturas de saneamento básico para que elas contribuam para a redução do esforço e do tempo dedicado as tarefas domésticas</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2A5FC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ANAS (Agencia Nacional de Água e Saneamento) / MAHOT </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Câmaras municipais, ONGs, Associações comunitárias, ICIEG</w:t>
            </w:r>
          </w:p>
        </w:tc>
        <w:tc>
          <w:tcPr>
            <w:tcW w:w="212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Programa WASH do MCA</w:t>
            </w:r>
          </w:p>
        </w:tc>
        <w:tc>
          <w:tcPr>
            <w:tcW w:w="2835"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da qualidade do saneamento básico.</w:t>
            </w:r>
            <w:r w:rsidRPr="006568A3">
              <w:rPr>
                <w:rFonts w:ascii="Calibri" w:eastAsia="Times New Roman" w:hAnsi="Calibri" w:cs="Times New Roman"/>
                <w:color w:val="000000"/>
                <w:sz w:val="20"/>
                <w:szCs w:val="20"/>
                <w:lang w:eastAsia="es-ES"/>
              </w:rPr>
              <w:br/>
              <w:t xml:space="preserve">*Promoção e desenvolvimento do saneamento básico. </w:t>
            </w:r>
          </w:p>
          <w:p w:rsidR="008E1185"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*Mobilização de água e reforço da capacidade de abastecimento publico.</w:t>
            </w:r>
          </w:p>
        </w:tc>
      </w:tr>
      <w:tr w:rsidR="00F831A4" w:rsidRPr="00C90523" w:rsidTr="00CE5D3D">
        <w:trPr>
          <w:trHeight w:val="1439"/>
        </w:trPr>
        <w:tc>
          <w:tcPr>
            <w:tcW w:w="453" w:type="dxa"/>
            <w:vMerge/>
            <w:tcBorders>
              <w:top w:val="nil"/>
              <w:left w:val="single" w:sz="4" w:space="0" w:color="auto"/>
              <w:bottom w:val="single" w:sz="4" w:space="0" w:color="000000"/>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1957"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5.3.3</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Implementar a estratégia de energias Domésticas do PNED em relação a energia para cocção de forma sustentável e estudar outras formas das infra-estruturas de energia contribuírem para a redução do esforço e do tempo dedicado as tarefas domesticas</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MTIDE</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MAHOT</w:t>
            </w:r>
          </w:p>
        </w:tc>
        <w:tc>
          <w:tcPr>
            <w:tcW w:w="2127" w:type="dxa"/>
            <w:tcBorders>
              <w:top w:val="nil"/>
              <w:left w:val="nil"/>
              <w:bottom w:val="single" w:sz="4" w:space="0" w:color="auto"/>
              <w:right w:val="single" w:sz="4" w:space="0" w:color="auto"/>
            </w:tcBorders>
            <w:shd w:val="clear" w:color="auto" w:fill="auto"/>
            <w:hideMark/>
          </w:tcPr>
          <w:p w:rsidR="00964456"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Estratégia de Energias Domesticas </w:t>
            </w:r>
          </w:p>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Plano Nacional de Energias Domésticas (PNED)</w:t>
            </w:r>
          </w:p>
        </w:tc>
        <w:tc>
          <w:tcPr>
            <w:tcW w:w="2835" w:type="dxa"/>
            <w:tcBorders>
              <w:top w:val="nil"/>
              <w:left w:val="nil"/>
              <w:bottom w:val="single" w:sz="4" w:space="0" w:color="auto"/>
              <w:right w:val="single" w:sz="4" w:space="0" w:color="auto"/>
            </w:tcBorders>
            <w:shd w:val="clear" w:color="auto" w:fill="auto"/>
            <w:hideMark/>
          </w:tcPr>
          <w:p w:rsidR="00E20255" w:rsidRPr="00C90523" w:rsidRDefault="006568A3" w:rsidP="00E2025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*Infra-estruturas de promoção armazenamento e distribuição de energia.</w:t>
            </w:r>
          </w:p>
          <w:p w:rsidR="00F831A4" w:rsidRPr="00C90523" w:rsidRDefault="006568A3" w:rsidP="006D061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*Promoção do uso de energia alternativa e eficiência energética.</w:t>
            </w:r>
          </w:p>
        </w:tc>
      </w:tr>
      <w:tr w:rsidR="00F831A4" w:rsidRPr="00C90523" w:rsidTr="00CE5D3D">
        <w:trPr>
          <w:trHeight w:val="1907"/>
        </w:trPr>
        <w:tc>
          <w:tcPr>
            <w:tcW w:w="453" w:type="dxa"/>
            <w:vMerge/>
            <w:tcBorders>
              <w:top w:val="nil"/>
              <w:left w:val="single" w:sz="4" w:space="0" w:color="auto"/>
              <w:bottom w:val="single" w:sz="4" w:space="0" w:color="000000"/>
              <w:right w:val="nil"/>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1957"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5.3.4</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Elaborar cenários para fortalecer e ampliar as infra-estruturas e os serviços para apoio ao cuidado das crianças e das pessoas com necessidades de cuidados especiais com vista à elaboração de uma estratégia.</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2017-2018</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CIGEF/UniCV, MJERH, MED, MS Câmaras Municipais, ICCA, ONG, associações de pessoas/crianças com deficiência</w:t>
            </w:r>
          </w:p>
          <w:p w:rsidR="00835810" w:rsidRPr="00C90523" w:rsidRDefault="006568A3" w:rsidP="0083581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Direção Geral de Administração Publica</w:t>
            </w:r>
          </w:p>
          <w:p w:rsidR="00835810" w:rsidRPr="00C90523" w:rsidRDefault="006568A3" w:rsidP="00835810">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Associações comerciais e câmaras de comercio</w:t>
            </w:r>
          </w:p>
        </w:tc>
        <w:tc>
          <w:tcPr>
            <w:tcW w:w="2127" w:type="dxa"/>
            <w:tcBorders>
              <w:top w:val="nil"/>
              <w:left w:val="nil"/>
              <w:bottom w:val="single" w:sz="4" w:space="0" w:color="auto"/>
              <w:right w:val="single" w:sz="4" w:space="0" w:color="auto"/>
            </w:tcBorders>
            <w:shd w:val="clear" w:color="auto" w:fill="auto"/>
            <w:hideMark/>
          </w:tcPr>
          <w:p w:rsidR="006F6A68"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iCs/>
                <w:color w:val="000000"/>
                <w:sz w:val="20"/>
                <w:szCs w:val="20"/>
                <w:lang w:eastAsia="es-ES"/>
              </w:rPr>
              <w:t>Estudo diagnostico sobre serviços de cuidado infantil feito pelo Programa Integrado da pequena infância.</w:t>
            </w:r>
            <w:r w:rsidRPr="006568A3">
              <w:rPr>
                <w:rFonts w:ascii="Calibri" w:eastAsia="Times New Roman" w:hAnsi="Calibri" w:cs="Times New Roman"/>
                <w:color w:val="000000"/>
                <w:sz w:val="20"/>
                <w:szCs w:val="20"/>
                <w:lang w:eastAsia="es-ES"/>
              </w:rPr>
              <w:t xml:space="preserve"> </w:t>
            </w:r>
          </w:p>
          <w:p w:rsidR="00F831A4" w:rsidRPr="00C90523" w:rsidRDefault="006568A3" w:rsidP="00B007FE">
            <w:pPr>
              <w:spacing w:after="0" w:line="240" w:lineRule="auto"/>
              <w:rPr>
                <w:rFonts w:ascii="Calibri" w:eastAsia="Times New Roman" w:hAnsi="Calibri" w:cs="Times New Roman"/>
                <w:i/>
                <w:iCs/>
                <w:color w:val="000000"/>
                <w:sz w:val="20"/>
                <w:szCs w:val="20"/>
                <w:lang w:eastAsia="es-ES"/>
              </w:rPr>
            </w:pPr>
            <w:r w:rsidRPr="006568A3">
              <w:rPr>
                <w:rFonts w:ascii="Calibri" w:eastAsia="Times New Roman" w:hAnsi="Calibri" w:cs="Times New Roman"/>
                <w:color w:val="000000"/>
                <w:sz w:val="20"/>
                <w:szCs w:val="20"/>
                <w:lang w:eastAsia="es-ES"/>
              </w:rPr>
              <w:t xml:space="preserve">Plano Integrado de Pequena Infância </w:t>
            </w:r>
            <w:r w:rsidRPr="006568A3">
              <w:rPr>
                <w:rFonts w:ascii="Calibri" w:eastAsia="Times New Roman" w:hAnsi="Calibri" w:cs="Times New Roman"/>
                <w:i/>
                <w:iCs/>
                <w:color w:val="000000"/>
                <w:sz w:val="20"/>
                <w:szCs w:val="20"/>
                <w:lang w:eastAsia="es-ES"/>
              </w:rPr>
              <w:t>(em curso de elaboração).</w:t>
            </w:r>
          </w:p>
          <w:p w:rsidR="006F6A68" w:rsidRPr="00C90523" w:rsidRDefault="006F6A68" w:rsidP="00B007FE">
            <w:pPr>
              <w:spacing w:after="0" w:line="240" w:lineRule="auto"/>
              <w:rPr>
                <w:rFonts w:ascii="Calibri" w:eastAsia="Times New Roman" w:hAnsi="Calibri" w:cs="Times New Roman"/>
                <w:color w:val="000000"/>
                <w:sz w:val="20"/>
                <w:szCs w:val="20"/>
                <w:lang w:eastAsia="es-ES"/>
              </w:rPr>
            </w:pPr>
          </w:p>
        </w:tc>
        <w:tc>
          <w:tcPr>
            <w:tcW w:w="2835" w:type="dxa"/>
            <w:tcBorders>
              <w:top w:val="nil"/>
              <w:left w:val="nil"/>
              <w:bottom w:val="single" w:sz="4" w:space="0" w:color="auto"/>
              <w:right w:val="single" w:sz="4" w:space="0" w:color="auto"/>
            </w:tcBorders>
            <w:shd w:val="clear" w:color="auto" w:fill="auto"/>
            <w:hideMark/>
          </w:tcPr>
          <w:p w:rsidR="00E20255" w:rsidRPr="00C90523" w:rsidRDefault="006568A3" w:rsidP="008266F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*Reforço da igualdade e equidade de género.</w:t>
            </w:r>
          </w:p>
          <w:p w:rsidR="008266FC" w:rsidRPr="00C90523" w:rsidRDefault="006568A3" w:rsidP="008266F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*Ação social e escolar.</w:t>
            </w:r>
          </w:p>
          <w:p w:rsidR="00F831A4" w:rsidRPr="00C90523" w:rsidRDefault="006568A3" w:rsidP="006D0617">
            <w:pPr>
              <w:spacing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das condições de vida das crianças e adolescentes.</w:t>
            </w:r>
            <w:r w:rsidRPr="006568A3">
              <w:t xml:space="preserve"> </w:t>
            </w:r>
          </w:p>
        </w:tc>
      </w:tr>
      <w:tr w:rsidR="00F831A4" w:rsidRPr="00C90523" w:rsidTr="00CE5D3D">
        <w:trPr>
          <w:trHeight w:val="1765"/>
        </w:trPr>
        <w:tc>
          <w:tcPr>
            <w:tcW w:w="453" w:type="dxa"/>
            <w:vMerge w:val="restart"/>
            <w:tcBorders>
              <w:top w:val="single" w:sz="4" w:space="0" w:color="000000"/>
              <w:left w:val="single" w:sz="4" w:space="0" w:color="auto"/>
              <w:bottom w:val="single" w:sz="4" w:space="0" w:color="000000"/>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5.4</w:t>
            </w:r>
          </w:p>
        </w:tc>
        <w:tc>
          <w:tcPr>
            <w:tcW w:w="1957" w:type="dxa"/>
            <w:vMerge w:val="restart"/>
            <w:tcBorders>
              <w:top w:val="nil"/>
              <w:left w:val="nil"/>
              <w:bottom w:val="single" w:sz="4" w:space="0" w:color="000000"/>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Incrementar as medidas de apoio disponíveis para os agregados monoparentais em situação de pobreza que facilitem a conciliação entre o trabalho produtivo e reprodutivo.</w:t>
            </w: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5.4.1</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Estabelecer um grupo de trabalho interministerial para a elaboração de um quadro conceptual para as políticas de inclusão social no âmbito das políticas. socioeconómicas, que tenha em conta a conciliação entre o trabalho produtivo e reprodutivo.</w:t>
            </w:r>
          </w:p>
        </w:tc>
        <w:tc>
          <w:tcPr>
            <w:tcW w:w="1438"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CIGEF/UniCV</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E9147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DGSS/MJEDRH, Unidade de Implementação, POSER INE, ICCA , MAHOT, parceiros internacionais.</w:t>
            </w:r>
          </w:p>
        </w:tc>
        <w:tc>
          <w:tcPr>
            <w:tcW w:w="212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Inquérito sobre uso do tempo</w:t>
            </w:r>
          </w:p>
        </w:tc>
        <w:tc>
          <w:tcPr>
            <w:tcW w:w="2835" w:type="dxa"/>
            <w:tcBorders>
              <w:top w:val="nil"/>
              <w:left w:val="nil"/>
              <w:bottom w:val="single" w:sz="4" w:space="0" w:color="auto"/>
              <w:right w:val="single" w:sz="4" w:space="0" w:color="auto"/>
            </w:tcBorders>
            <w:shd w:val="clear" w:color="auto" w:fill="auto"/>
            <w:hideMark/>
          </w:tcPr>
          <w:p w:rsidR="00E20255" w:rsidRPr="00C90523" w:rsidRDefault="006568A3" w:rsidP="00E20255">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Reforço da igualdade e equidade de género.</w:t>
            </w:r>
          </w:p>
          <w:p w:rsidR="00CE5D3D" w:rsidRPr="00C90523" w:rsidRDefault="006568A3" w:rsidP="00CE5D3D">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*Promoção e reabilitação da habitação de interesse social.</w:t>
            </w:r>
          </w:p>
          <w:p w:rsidR="00CE5D3D" w:rsidRPr="00C90523" w:rsidRDefault="006568A3" w:rsidP="00CE5D3D">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das condições de vida das crianças e adolescentes.</w:t>
            </w:r>
          </w:p>
          <w:p w:rsidR="00F831A4" w:rsidRPr="00C90523" w:rsidRDefault="006568A3" w:rsidP="00CE5D3D">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*Aceso aos pobres dos serviços sociais de base e ao rendimento.</w:t>
            </w:r>
          </w:p>
        </w:tc>
      </w:tr>
      <w:tr w:rsidR="00F831A4" w:rsidRPr="00C90523" w:rsidTr="00CE5D3D">
        <w:trPr>
          <w:trHeight w:val="306"/>
        </w:trPr>
        <w:tc>
          <w:tcPr>
            <w:tcW w:w="453" w:type="dxa"/>
            <w:vMerge/>
            <w:tcBorders>
              <w:top w:val="single" w:sz="4" w:space="0" w:color="000000"/>
              <w:left w:val="single" w:sz="4" w:space="0" w:color="auto"/>
              <w:bottom w:val="single" w:sz="4" w:space="0" w:color="000000"/>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1957" w:type="dxa"/>
            <w:vMerge/>
            <w:tcBorders>
              <w:top w:val="nil"/>
              <w:left w:val="nil"/>
              <w:bottom w:val="single" w:sz="4" w:space="0" w:color="000000"/>
              <w:right w:val="single" w:sz="4" w:space="0" w:color="auto"/>
            </w:tcBorders>
            <w:vAlign w:val="center"/>
            <w:hideMark/>
          </w:tcPr>
          <w:p w:rsidR="00F831A4" w:rsidRPr="00C90523" w:rsidRDefault="00F831A4" w:rsidP="00B007FE">
            <w:pPr>
              <w:spacing w:after="0" w:line="240" w:lineRule="auto"/>
              <w:rPr>
                <w:rFonts w:ascii="Calibri" w:eastAsia="Times New Roman" w:hAnsi="Calibri" w:cs="Times New Roman"/>
                <w:color w:val="000000"/>
                <w:sz w:val="20"/>
                <w:szCs w:val="20"/>
                <w:lang w:eastAsia="es-ES"/>
              </w:rPr>
            </w:pPr>
          </w:p>
        </w:tc>
        <w:tc>
          <w:tcPr>
            <w:tcW w:w="646" w:type="dxa"/>
            <w:tcBorders>
              <w:top w:val="nil"/>
              <w:left w:val="nil"/>
              <w:bottom w:val="single" w:sz="4" w:space="0" w:color="auto"/>
              <w:right w:val="nil"/>
            </w:tcBorders>
            <w:shd w:val="clear" w:color="auto" w:fill="auto"/>
            <w:hideMark/>
          </w:tcPr>
          <w:p w:rsidR="00F831A4" w:rsidRPr="00C90523" w:rsidRDefault="006568A3" w:rsidP="00B007FE">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5.4.2</w:t>
            </w:r>
          </w:p>
        </w:tc>
        <w:tc>
          <w:tcPr>
            <w:tcW w:w="3464"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Analisar os programas de apoio social priorizados e propor/ acompanhar a implementação de medidas para que os mesmo incluam ações que facilitem a conciliação entre o trabalho produtivo e reprodutivo, particularmente para as famílias chefiadas por mulheres.</w:t>
            </w:r>
          </w:p>
        </w:tc>
        <w:tc>
          <w:tcPr>
            <w:tcW w:w="1438" w:type="dxa"/>
            <w:tcBorders>
              <w:top w:val="nil"/>
              <w:left w:val="nil"/>
              <w:bottom w:val="single" w:sz="4" w:space="0" w:color="auto"/>
              <w:right w:val="single" w:sz="4" w:space="0" w:color="auto"/>
            </w:tcBorders>
            <w:shd w:val="clear" w:color="auto" w:fill="auto"/>
            <w:hideMark/>
          </w:tcPr>
          <w:p w:rsidR="007830CF"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2015-2016</w:t>
            </w:r>
          </w:p>
          <w:p w:rsidR="00F831A4" w:rsidRPr="007830CF" w:rsidRDefault="007830CF" w:rsidP="007830CF">
            <w:pPr>
              <w:tabs>
                <w:tab w:val="left" w:pos="1139"/>
              </w:tabs>
              <w:rPr>
                <w:rFonts w:ascii="Calibri" w:eastAsia="Times New Roman" w:hAnsi="Calibri" w:cs="Times New Roman"/>
                <w:sz w:val="20"/>
                <w:szCs w:val="20"/>
                <w:lang w:eastAsia="es-ES"/>
              </w:rPr>
            </w:pPr>
            <w:r>
              <w:rPr>
                <w:rFonts w:ascii="Calibri" w:eastAsia="Times New Roman" w:hAnsi="Calibri" w:cs="Times New Roman"/>
                <w:sz w:val="20"/>
                <w:szCs w:val="20"/>
                <w:lang w:eastAsia="es-ES"/>
              </w:rPr>
              <w:tab/>
            </w:r>
          </w:p>
        </w:tc>
        <w:tc>
          <w:tcPr>
            <w:tcW w:w="139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DGSS/MJEDRH</w:t>
            </w:r>
          </w:p>
        </w:tc>
        <w:tc>
          <w:tcPr>
            <w:tcW w:w="2268" w:type="dxa"/>
            <w:tcBorders>
              <w:top w:val="nil"/>
              <w:left w:val="nil"/>
              <w:bottom w:val="single" w:sz="4" w:space="0" w:color="auto"/>
              <w:right w:val="single" w:sz="4" w:space="0" w:color="auto"/>
            </w:tcBorders>
            <w:shd w:val="clear" w:color="auto" w:fill="auto"/>
            <w:hideMark/>
          </w:tcPr>
          <w:p w:rsidR="00F831A4" w:rsidRPr="00C90523" w:rsidRDefault="006568A3" w:rsidP="007830CF">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Unidade de Implementação POSER, MAHOT</w:t>
            </w:r>
            <w:r w:rsidRPr="006568A3">
              <w:rPr>
                <w:rFonts w:ascii="Calibri" w:eastAsia="Times New Roman" w:hAnsi="Calibri" w:cs="Times New Roman"/>
                <w:color w:val="000000"/>
                <w:sz w:val="20"/>
                <w:szCs w:val="20"/>
                <w:lang w:eastAsia="es-ES"/>
              </w:rPr>
              <w:br/>
              <w:t>Câmaras Municipais, sectores, ONGs.</w:t>
            </w:r>
          </w:p>
        </w:tc>
        <w:tc>
          <w:tcPr>
            <w:tcW w:w="2127"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Programa de apoio à reabilitação habitacional, à terceira idade, AGR para mulheres chefes de família, estudantes, necessidades educativas especiais </w:t>
            </w:r>
            <w:r w:rsidRPr="006568A3">
              <w:rPr>
                <w:rFonts w:ascii="Calibri" w:eastAsia="Times New Roman" w:hAnsi="Calibri" w:cs="Times New Roman"/>
                <w:color w:val="000000"/>
                <w:sz w:val="20"/>
                <w:szCs w:val="20"/>
                <w:lang w:eastAsia="es-ES"/>
              </w:rPr>
              <w:br/>
              <w:t>Cadastro único</w:t>
            </w:r>
            <w:r w:rsidRPr="006568A3">
              <w:rPr>
                <w:rFonts w:ascii="Calibri" w:eastAsia="Times New Roman" w:hAnsi="Calibri" w:cs="Times New Roman"/>
                <w:color w:val="000000"/>
                <w:sz w:val="20"/>
                <w:szCs w:val="20"/>
                <w:lang w:eastAsia="es-ES"/>
              </w:rPr>
              <w:br/>
              <w:t>Programa de transferência de renda (em estudo)</w:t>
            </w:r>
          </w:p>
        </w:tc>
        <w:tc>
          <w:tcPr>
            <w:tcW w:w="2835" w:type="dxa"/>
            <w:tcBorders>
              <w:top w:val="nil"/>
              <w:left w:val="nil"/>
              <w:bottom w:val="single" w:sz="4" w:space="0" w:color="auto"/>
              <w:right w:val="single" w:sz="4" w:space="0" w:color="auto"/>
            </w:tcBorders>
            <w:shd w:val="clear" w:color="auto" w:fill="auto"/>
            <w:hideMark/>
          </w:tcPr>
          <w:p w:rsidR="00F831A4"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*Melhoria das condições de vida das crianças e adolescentes.</w:t>
            </w:r>
            <w:r w:rsidRPr="006568A3">
              <w:rPr>
                <w:rFonts w:ascii="Calibri" w:eastAsia="Times New Roman" w:hAnsi="Calibri" w:cs="Times New Roman"/>
                <w:color w:val="000000"/>
                <w:sz w:val="20"/>
                <w:szCs w:val="20"/>
                <w:lang w:eastAsia="es-ES"/>
              </w:rPr>
              <w:br/>
              <w:t xml:space="preserve">*Aceso aos pobres dos serviços sociais de base e ao rendimento. </w:t>
            </w:r>
          </w:p>
          <w:p w:rsidR="0090707C" w:rsidRPr="00C90523" w:rsidRDefault="006568A3" w:rsidP="00B007FE">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*Construção de habitação de interesse social.</w:t>
            </w:r>
          </w:p>
          <w:p w:rsidR="00801F6B" w:rsidRPr="00C90523" w:rsidRDefault="006568A3" w:rsidP="006D0617">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*Garantia do acesso a todos os grupos sociais e profissionais a proteção social.</w:t>
            </w:r>
          </w:p>
        </w:tc>
      </w:tr>
    </w:tbl>
    <w:p w:rsidR="008C0DE9" w:rsidRPr="00C90523" w:rsidRDefault="008C0DE9" w:rsidP="00CE5D3D">
      <w:pPr>
        <w:spacing w:after="0"/>
      </w:pPr>
    </w:p>
    <w:tbl>
      <w:tblPr>
        <w:tblW w:w="16585" w:type="dxa"/>
        <w:tblInd w:w="70" w:type="dxa"/>
        <w:tblCellMar>
          <w:left w:w="70" w:type="dxa"/>
          <w:right w:w="70" w:type="dxa"/>
        </w:tblCellMar>
        <w:tblLook w:val="04A0" w:firstRow="1" w:lastRow="0" w:firstColumn="1" w:lastColumn="0" w:noHBand="0" w:noVBand="1"/>
      </w:tblPr>
      <w:tblGrid>
        <w:gridCol w:w="453"/>
        <w:gridCol w:w="1815"/>
        <w:gridCol w:w="546"/>
        <w:gridCol w:w="3707"/>
        <w:gridCol w:w="1438"/>
        <w:gridCol w:w="1397"/>
        <w:gridCol w:w="2268"/>
        <w:gridCol w:w="2126"/>
        <w:gridCol w:w="2835"/>
      </w:tblGrid>
      <w:tr w:rsidR="00F831A4" w:rsidRPr="00C90523" w:rsidTr="00CE5D3D">
        <w:trPr>
          <w:trHeight w:val="300"/>
          <w:tblHeader/>
        </w:trPr>
        <w:tc>
          <w:tcPr>
            <w:tcW w:w="16585" w:type="dxa"/>
            <w:gridSpan w:val="9"/>
            <w:tcBorders>
              <w:top w:val="nil"/>
              <w:left w:val="nil"/>
              <w:bottom w:val="single" w:sz="4" w:space="0" w:color="000000"/>
              <w:right w:val="nil"/>
            </w:tcBorders>
            <w:shd w:val="clear" w:color="auto" w:fill="auto"/>
            <w:vAlign w:val="bottom"/>
            <w:hideMark/>
          </w:tcPr>
          <w:p w:rsidR="00F831A4" w:rsidRPr="00C90523" w:rsidRDefault="006568A3" w:rsidP="00B007FE">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Eixo estratégico: </w:t>
            </w:r>
            <w:r w:rsidRPr="006568A3">
              <w:rPr>
                <w:rFonts w:ascii="Calibri" w:eastAsia="Times New Roman" w:hAnsi="Calibri" w:cs="Times New Roman"/>
                <w:b/>
                <w:bCs/>
                <w:i/>
                <w:iCs/>
                <w:color w:val="000000"/>
                <w:lang w:eastAsia="es-ES"/>
              </w:rPr>
              <w:t>Participação política e nas esferas de tomada de decisão e comunicação</w:t>
            </w:r>
          </w:p>
        </w:tc>
      </w:tr>
      <w:tr w:rsidR="00CE5D3D" w:rsidRPr="00C90523" w:rsidTr="00CE5D3D">
        <w:trPr>
          <w:trHeight w:val="510"/>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253"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438"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397"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 responsável</w:t>
            </w:r>
          </w:p>
        </w:tc>
        <w:tc>
          <w:tcPr>
            <w:tcW w:w="2268"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Entidades envolvidas</w:t>
            </w:r>
          </w:p>
        </w:tc>
        <w:tc>
          <w:tcPr>
            <w:tcW w:w="2126"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835"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3227B7" w:rsidRPr="00C90523" w:rsidTr="00CE5D3D">
        <w:trPr>
          <w:trHeight w:val="1156"/>
        </w:trPr>
        <w:tc>
          <w:tcPr>
            <w:tcW w:w="453" w:type="dxa"/>
            <w:vMerge w:val="restart"/>
            <w:tcBorders>
              <w:top w:val="single" w:sz="4" w:space="0" w:color="000000"/>
              <w:left w:val="single" w:sz="4" w:space="0" w:color="auto"/>
              <w:bottom w:val="single" w:sz="4" w:space="0" w:color="auto"/>
              <w:right w:val="nil"/>
            </w:tcBorders>
            <w:shd w:val="clear" w:color="auto" w:fill="auto"/>
            <w:hideMark/>
          </w:tcPr>
          <w:p w:rsidR="003227B7"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6.1</w:t>
            </w:r>
          </w:p>
        </w:tc>
        <w:tc>
          <w:tcPr>
            <w:tcW w:w="1815" w:type="dxa"/>
            <w:vMerge w:val="restart"/>
            <w:tcBorders>
              <w:top w:val="single" w:sz="4" w:space="0" w:color="000000"/>
              <w:left w:val="nil"/>
              <w:bottom w:val="single" w:sz="4" w:space="0" w:color="000000"/>
              <w:right w:val="single" w:sz="4" w:space="0" w:color="auto"/>
            </w:tcBorders>
            <w:shd w:val="clear" w:color="auto" w:fill="auto"/>
            <w:hideMark/>
          </w:tcPr>
          <w:p w:rsidR="003227B7" w:rsidRPr="00C90523" w:rsidRDefault="006568A3" w:rsidP="00E24261">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Incrementada a participação das mulheres nos órgãos de decisão electivos nas próximas eleições nacionais e autárquicas .</w:t>
            </w:r>
          </w:p>
        </w:tc>
        <w:tc>
          <w:tcPr>
            <w:tcW w:w="546" w:type="dxa"/>
            <w:tcBorders>
              <w:top w:val="single" w:sz="4" w:space="0" w:color="000000"/>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6.1.1</w:t>
            </w:r>
          </w:p>
        </w:tc>
        <w:tc>
          <w:tcPr>
            <w:tcW w:w="3707" w:type="dxa"/>
            <w:tcBorders>
              <w:top w:val="single" w:sz="4" w:space="0" w:color="000000"/>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Promover a elaboração/ revisão/ aprovação de medidas legislativas e regulamentares com vista à paridade na participação política das mulheres (Lei da Paridade, lei dos partidos políticos, código eleitoral e sua regulamentação).</w:t>
            </w:r>
          </w:p>
        </w:tc>
        <w:tc>
          <w:tcPr>
            <w:tcW w:w="1438" w:type="dxa"/>
            <w:tcBorders>
              <w:top w:val="single" w:sz="4" w:space="0" w:color="000000"/>
              <w:left w:val="nil"/>
              <w:bottom w:val="single" w:sz="4" w:space="0" w:color="auto"/>
              <w:right w:val="single" w:sz="4" w:space="0" w:color="auto"/>
            </w:tcBorders>
            <w:shd w:val="clear" w:color="auto" w:fill="auto"/>
            <w:hideMark/>
          </w:tcPr>
          <w:p w:rsidR="003227B7" w:rsidRPr="00C90523" w:rsidRDefault="006568A3" w:rsidP="001D73A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single" w:sz="4" w:space="0" w:color="000000"/>
              <w:left w:val="nil"/>
              <w:bottom w:val="single" w:sz="4" w:space="0" w:color="auto"/>
              <w:right w:val="single" w:sz="4" w:space="0" w:color="auto"/>
            </w:tcBorders>
            <w:shd w:val="clear" w:color="auto" w:fill="auto"/>
            <w:hideMark/>
          </w:tcPr>
          <w:p w:rsidR="008A7635" w:rsidRPr="00C90523" w:rsidRDefault="006568A3" w:rsidP="008A7635">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Assembleia/</w:t>
            </w:r>
          </w:p>
          <w:p w:rsidR="003227B7" w:rsidRPr="00C90523" w:rsidRDefault="006568A3" w:rsidP="008A7635">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RMP-CV</w:t>
            </w:r>
          </w:p>
        </w:tc>
        <w:tc>
          <w:tcPr>
            <w:tcW w:w="2268" w:type="dxa"/>
            <w:tcBorders>
              <w:top w:val="single" w:sz="4" w:space="0" w:color="000000"/>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Parlamento, OSC (Mulheres), Partidos Políticos</w:t>
            </w:r>
          </w:p>
        </w:tc>
        <w:tc>
          <w:tcPr>
            <w:tcW w:w="2126" w:type="dxa"/>
            <w:tcBorders>
              <w:top w:val="single" w:sz="4" w:space="0" w:color="000000"/>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Plano de trabalho da RMP-CV</w:t>
            </w:r>
          </w:p>
        </w:tc>
        <w:tc>
          <w:tcPr>
            <w:tcW w:w="2835" w:type="dxa"/>
            <w:tcBorders>
              <w:top w:val="single" w:sz="4" w:space="0" w:color="000000"/>
              <w:left w:val="nil"/>
              <w:bottom w:val="single" w:sz="4" w:space="0" w:color="auto"/>
              <w:right w:val="single" w:sz="4" w:space="0" w:color="auto"/>
            </w:tcBorders>
            <w:shd w:val="clear" w:color="auto" w:fill="auto"/>
            <w:hideMark/>
          </w:tcPr>
          <w:p w:rsidR="009321F4" w:rsidRPr="00C90523" w:rsidRDefault="006568A3" w:rsidP="00B00122">
            <w:pPr>
              <w:spacing w:after="0" w:line="240" w:lineRule="auto"/>
              <w:rPr>
                <w:rFonts w:ascii="Calibri" w:eastAsia="Times New Roman" w:hAnsi="Calibri" w:cs="Times New Roman"/>
                <w:sz w:val="20"/>
                <w:szCs w:val="20"/>
                <w:lang w:eastAsia="es-ES"/>
              </w:rPr>
            </w:pPr>
            <w:r w:rsidRPr="006568A3">
              <w:rPr>
                <w:rFonts w:ascii="Calibri" w:hAnsi="Calibri"/>
                <w:sz w:val="20"/>
                <w:szCs w:val="20"/>
              </w:rPr>
              <w:t xml:space="preserve">*Programa de </w:t>
            </w:r>
            <w:r w:rsidRPr="006568A3">
              <w:rPr>
                <w:rFonts w:ascii="Calibri" w:eastAsia="Times New Roman" w:hAnsi="Calibri" w:cs="Times New Roman"/>
                <w:sz w:val="20"/>
                <w:szCs w:val="20"/>
                <w:lang w:eastAsia="es-ES"/>
              </w:rPr>
              <w:t>Acção Parlamentar.</w:t>
            </w:r>
          </w:p>
          <w:p w:rsidR="00B00122" w:rsidRPr="00C90523" w:rsidRDefault="006568A3" w:rsidP="006D0617">
            <w:pPr>
              <w:spacing w:after="0" w:line="240" w:lineRule="auto"/>
              <w:rPr>
                <w:rFonts w:ascii="Calibri" w:hAnsi="Calibri"/>
                <w:sz w:val="20"/>
                <w:szCs w:val="20"/>
              </w:rPr>
            </w:pPr>
            <w:r w:rsidRPr="006568A3">
              <w:rPr>
                <w:rFonts w:ascii="Calibri" w:eastAsia="Times New Roman" w:hAnsi="Calibri" w:cs="Times New Roman"/>
                <w:sz w:val="20"/>
                <w:szCs w:val="20"/>
                <w:lang w:eastAsia="es-ES"/>
              </w:rPr>
              <w:t>*Promoção da legalidade democrática do interesse publico e da ação penal.</w:t>
            </w:r>
          </w:p>
        </w:tc>
      </w:tr>
      <w:tr w:rsidR="003227B7" w:rsidRPr="00C90523" w:rsidTr="00CE5D3D">
        <w:trPr>
          <w:trHeight w:val="1202"/>
        </w:trPr>
        <w:tc>
          <w:tcPr>
            <w:tcW w:w="453" w:type="dxa"/>
            <w:vMerge/>
            <w:tcBorders>
              <w:top w:val="nil"/>
              <w:left w:val="single" w:sz="4" w:space="0" w:color="auto"/>
              <w:bottom w:val="single" w:sz="4" w:space="0" w:color="auto"/>
              <w:right w:val="nil"/>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1815" w:type="dxa"/>
            <w:vMerge/>
            <w:tcBorders>
              <w:top w:val="nil"/>
              <w:left w:val="nil"/>
              <w:bottom w:val="single" w:sz="4" w:space="0" w:color="000000"/>
              <w:right w:val="single" w:sz="4" w:space="0" w:color="auto"/>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6.1.2</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Sensibilizar aos órgãos nacionais e locais dos partidos políticos e líderes comunitários no domínio da participação paritária de mulheres e homens na política. </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8C0DE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8A7635">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Organizações das mulheres dos partidos políticos</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6D0617">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RMP-CV Deputados, Juventudes partidárias, Plataforma ONGs, OSC,  Laço Branco, parceiros internacionais</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Plano de trabalho da RMP-CV</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3227B7" w:rsidP="003227B7">
            <w:pPr>
              <w:spacing w:line="240" w:lineRule="auto"/>
              <w:rPr>
                <w:rFonts w:ascii="Calibri" w:hAnsi="Calibri"/>
                <w:sz w:val="20"/>
                <w:szCs w:val="20"/>
              </w:rPr>
            </w:pPr>
          </w:p>
        </w:tc>
      </w:tr>
      <w:tr w:rsidR="003227B7" w:rsidRPr="00C90523" w:rsidTr="00CE5D3D">
        <w:trPr>
          <w:trHeight w:val="1011"/>
        </w:trPr>
        <w:tc>
          <w:tcPr>
            <w:tcW w:w="453" w:type="dxa"/>
            <w:vMerge/>
            <w:tcBorders>
              <w:top w:val="nil"/>
              <w:left w:val="single" w:sz="4" w:space="0" w:color="auto"/>
              <w:bottom w:val="single" w:sz="4" w:space="0" w:color="auto"/>
              <w:right w:val="nil"/>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1815" w:type="dxa"/>
            <w:vMerge/>
            <w:tcBorders>
              <w:top w:val="nil"/>
              <w:left w:val="nil"/>
              <w:bottom w:val="single" w:sz="4" w:space="0" w:color="000000"/>
              <w:right w:val="single" w:sz="4" w:space="0" w:color="auto"/>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6.1.3</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Capacitar às mulheres em género, liderança para a participação na política, entre outros, com vista a aumentar o numero das potenciais candidatas.</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 OSC (Mulheres), Partidos Políticos</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6568A3" w:rsidP="003227B7">
            <w:pPr>
              <w:spacing w:line="240" w:lineRule="auto"/>
              <w:rPr>
                <w:rFonts w:ascii="Calibri" w:hAnsi="Calibri"/>
                <w:sz w:val="20"/>
                <w:szCs w:val="20"/>
              </w:rPr>
            </w:pPr>
            <w:r w:rsidRPr="006568A3">
              <w:rPr>
                <w:rFonts w:ascii="Calibri" w:hAnsi="Calibri"/>
                <w:sz w:val="20"/>
                <w:szCs w:val="20"/>
              </w:rPr>
              <w:t>*Reforço da igualdade e equidade de género.</w:t>
            </w:r>
          </w:p>
        </w:tc>
      </w:tr>
      <w:tr w:rsidR="003227B7" w:rsidRPr="00C90523" w:rsidTr="00CE5D3D">
        <w:trPr>
          <w:trHeight w:val="802"/>
        </w:trPr>
        <w:tc>
          <w:tcPr>
            <w:tcW w:w="453" w:type="dxa"/>
            <w:vMerge w:val="restart"/>
            <w:tcBorders>
              <w:top w:val="nil"/>
              <w:left w:val="single" w:sz="4" w:space="0" w:color="auto"/>
              <w:bottom w:val="single" w:sz="4" w:space="0" w:color="auto"/>
              <w:right w:val="nil"/>
            </w:tcBorders>
            <w:shd w:val="clear" w:color="auto" w:fill="auto"/>
            <w:hideMark/>
          </w:tcPr>
          <w:p w:rsidR="003227B7"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6.2</w:t>
            </w:r>
          </w:p>
        </w:tc>
        <w:tc>
          <w:tcPr>
            <w:tcW w:w="1815" w:type="dxa"/>
            <w:vMerge w:val="restart"/>
            <w:tcBorders>
              <w:top w:val="nil"/>
              <w:left w:val="nil"/>
              <w:bottom w:val="single" w:sz="4" w:space="0" w:color="000000"/>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Incrementada a participação das mulheres nos cargos de tomar de decisão na administração pública.</w:t>
            </w: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6.2.1</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CE5D3D">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Promover mecanismos legais e administrativos que assegurem a participação das mulheres em cargos de tomada de decisão.</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9A46FF" w:rsidRPr="00C90523" w:rsidRDefault="006568A3" w:rsidP="009A46FF">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Assembleia/</w:t>
            </w:r>
          </w:p>
          <w:p w:rsidR="003227B7" w:rsidRPr="00C90523" w:rsidRDefault="006568A3" w:rsidP="009A46FF">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RMP-CV</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ICIEG, OSC (Mulheres), Membros da CEAJDHCS, DGAP, parceiros internacionais </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Plano melhoria da qualidade dos recursos humanos </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6568A3" w:rsidP="009321F4">
            <w:pPr>
              <w:spacing w:after="0" w:line="240" w:lineRule="auto"/>
              <w:rPr>
                <w:rFonts w:ascii="Calibri" w:hAnsi="Calibri"/>
                <w:sz w:val="20"/>
                <w:szCs w:val="20"/>
              </w:rPr>
            </w:pPr>
            <w:r w:rsidRPr="006568A3">
              <w:rPr>
                <w:rFonts w:ascii="Calibri" w:hAnsi="Calibri"/>
                <w:sz w:val="20"/>
                <w:szCs w:val="20"/>
              </w:rPr>
              <w:t>*Programa de Acção Parlamentar.</w:t>
            </w:r>
          </w:p>
          <w:p w:rsidR="009321F4" w:rsidRPr="00C90523" w:rsidRDefault="006568A3" w:rsidP="006D0617">
            <w:pPr>
              <w:spacing w:after="0" w:line="240" w:lineRule="auto"/>
              <w:rPr>
                <w:rFonts w:ascii="Calibri" w:hAnsi="Calibri"/>
                <w:sz w:val="20"/>
                <w:szCs w:val="20"/>
              </w:rPr>
            </w:pPr>
            <w:r w:rsidRPr="006568A3">
              <w:rPr>
                <w:rFonts w:ascii="Calibri" w:eastAsia="Times New Roman" w:hAnsi="Calibri" w:cs="Times New Roman"/>
                <w:sz w:val="20"/>
                <w:szCs w:val="20"/>
                <w:lang w:eastAsia="es-ES"/>
              </w:rPr>
              <w:t>*Promoção da legalidade democrática do interesse publico e da ação penal.</w:t>
            </w:r>
          </w:p>
        </w:tc>
      </w:tr>
      <w:tr w:rsidR="003227B7" w:rsidRPr="00C90523" w:rsidTr="00CE5D3D">
        <w:trPr>
          <w:trHeight w:val="795"/>
        </w:trPr>
        <w:tc>
          <w:tcPr>
            <w:tcW w:w="453" w:type="dxa"/>
            <w:vMerge/>
            <w:tcBorders>
              <w:top w:val="nil"/>
              <w:left w:val="single" w:sz="4" w:space="0" w:color="auto"/>
              <w:bottom w:val="single" w:sz="4" w:space="0" w:color="auto"/>
              <w:right w:val="nil"/>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1815" w:type="dxa"/>
            <w:vMerge/>
            <w:tcBorders>
              <w:top w:val="nil"/>
              <w:left w:val="nil"/>
              <w:bottom w:val="single" w:sz="4" w:space="0" w:color="000000"/>
              <w:right w:val="single" w:sz="4" w:space="0" w:color="auto"/>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6.2.2</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Sensibilizar os decisores e as instituições para a importância de implementar as medidas que assegurem a participação das mulheres em cargos de tomada de decisão.                                                                                                                                       </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2017</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UCRE &amp; DGAP</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RMP-CV, OSC, parceiros internacionais</w:t>
            </w:r>
          </w:p>
        </w:tc>
        <w:tc>
          <w:tcPr>
            <w:tcW w:w="2126" w:type="dxa"/>
            <w:tcBorders>
              <w:top w:val="nil"/>
              <w:left w:val="nil"/>
              <w:bottom w:val="single" w:sz="4" w:space="0" w:color="auto"/>
              <w:right w:val="single" w:sz="4" w:space="0" w:color="auto"/>
            </w:tcBorders>
            <w:shd w:val="clear" w:color="auto" w:fill="auto"/>
            <w:hideMark/>
          </w:tcPr>
          <w:p w:rsidR="002639D1" w:rsidRPr="00C90523" w:rsidRDefault="006568A3" w:rsidP="002639D1">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UCRE-Programa Mudar para Competir.</w:t>
            </w:r>
          </w:p>
          <w:p w:rsidR="003227B7" w:rsidRPr="00C90523" w:rsidRDefault="006568A3" w:rsidP="002639D1">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DGAP -Melhoria da qualidade dos recursos humanos.</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3227B7" w:rsidP="003227B7">
            <w:pPr>
              <w:spacing w:line="240" w:lineRule="auto"/>
              <w:rPr>
                <w:rFonts w:ascii="Calibri" w:hAnsi="Calibri"/>
                <w:sz w:val="20"/>
                <w:szCs w:val="20"/>
              </w:rPr>
            </w:pPr>
          </w:p>
        </w:tc>
      </w:tr>
      <w:tr w:rsidR="002639D1" w:rsidRPr="00C90523" w:rsidTr="00CE5D3D">
        <w:trPr>
          <w:trHeight w:val="589"/>
        </w:trPr>
        <w:tc>
          <w:tcPr>
            <w:tcW w:w="453" w:type="dxa"/>
            <w:vMerge/>
            <w:tcBorders>
              <w:top w:val="nil"/>
              <w:left w:val="single" w:sz="4" w:space="0" w:color="auto"/>
              <w:bottom w:val="single" w:sz="4" w:space="0" w:color="auto"/>
              <w:right w:val="nil"/>
            </w:tcBorders>
            <w:vAlign w:val="center"/>
            <w:hideMark/>
          </w:tcPr>
          <w:p w:rsidR="002639D1" w:rsidRPr="00C90523" w:rsidRDefault="002639D1" w:rsidP="00B007FE">
            <w:pPr>
              <w:spacing w:after="0" w:line="240" w:lineRule="auto"/>
              <w:rPr>
                <w:rFonts w:ascii="Calibri" w:eastAsia="Times New Roman" w:hAnsi="Calibri" w:cs="Times New Roman"/>
                <w:sz w:val="20"/>
                <w:szCs w:val="20"/>
                <w:lang w:eastAsia="es-ES"/>
              </w:rPr>
            </w:pPr>
          </w:p>
        </w:tc>
        <w:tc>
          <w:tcPr>
            <w:tcW w:w="1815" w:type="dxa"/>
            <w:vMerge/>
            <w:tcBorders>
              <w:top w:val="nil"/>
              <w:left w:val="nil"/>
              <w:bottom w:val="single" w:sz="4" w:space="0" w:color="000000"/>
              <w:right w:val="single" w:sz="4" w:space="0" w:color="auto"/>
            </w:tcBorders>
            <w:vAlign w:val="center"/>
            <w:hideMark/>
          </w:tcPr>
          <w:p w:rsidR="002639D1" w:rsidRPr="00C90523" w:rsidRDefault="002639D1" w:rsidP="00B007FE">
            <w:pPr>
              <w:spacing w:after="0" w:line="240" w:lineRule="auto"/>
              <w:rPr>
                <w:rFonts w:ascii="Calibri" w:eastAsia="Times New Roman" w:hAnsi="Calibri" w:cs="Times New Roman"/>
                <w:sz w:val="20"/>
                <w:szCs w:val="20"/>
                <w:lang w:eastAsia="es-ES"/>
              </w:rPr>
            </w:pPr>
          </w:p>
        </w:tc>
        <w:tc>
          <w:tcPr>
            <w:tcW w:w="546" w:type="dxa"/>
            <w:tcBorders>
              <w:top w:val="nil"/>
              <w:left w:val="nil"/>
              <w:bottom w:val="single" w:sz="4" w:space="0" w:color="auto"/>
              <w:right w:val="nil"/>
            </w:tcBorders>
            <w:shd w:val="clear" w:color="auto" w:fill="auto"/>
            <w:hideMark/>
          </w:tcPr>
          <w:p w:rsidR="002639D1"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6.2.3</w:t>
            </w:r>
          </w:p>
        </w:tc>
        <w:tc>
          <w:tcPr>
            <w:tcW w:w="3707" w:type="dxa"/>
            <w:tcBorders>
              <w:top w:val="nil"/>
              <w:left w:val="nil"/>
              <w:bottom w:val="single" w:sz="4" w:space="0" w:color="auto"/>
              <w:right w:val="single" w:sz="4" w:space="0" w:color="auto"/>
            </w:tcBorders>
            <w:shd w:val="clear" w:color="auto" w:fill="auto"/>
            <w:hideMark/>
          </w:tcPr>
          <w:p w:rsidR="002639D1" w:rsidRPr="00C90523" w:rsidRDefault="006568A3" w:rsidP="00CE5D3D">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Reforçar os conhecimentos das mulheres sobre a participação nos cargos de tomada de decisão na administração pública exercício e a aplicação da lei de paridade (caso de ser aprovada).</w:t>
            </w:r>
          </w:p>
        </w:tc>
        <w:tc>
          <w:tcPr>
            <w:tcW w:w="1438" w:type="dxa"/>
            <w:tcBorders>
              <w:top w:val="nil"/>
              <w:left w:val="nil"/>
              <w:bottom w:val="single" w:sz="4" w:space="0" w:color="auto"/>
              <w:right w:val="single" w:sz="4" w:space="0" w:color="auto"/>
            </w:tcBorders>
            <w:shd w:val="clear" w:color="auto" w:fill="auto"/>
            <w:hideMark/>
          </w:tcPr>
          <w:p w:rsidR="002639D1"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2016-2017</w:t>
            </w:r>
          </w:p>
        </w:tc>
        <w:tc>
          <w:tcPr>
            <w:tcW w:w="1397" w:type="dxa"/>
            <w:tcBorders>
              <w:top w:val="nil"/>
              <w:left w:val="nil"/>
              <w:bottom w:val="single" w:sz="4" w:space="0" w:color="auto"/>
              <w:right w:val="single" w:sz="4" w:space="0" w:color="auto"/>
            </w:tcBorders>
            <w:shd w:val="clear" w:color="auto" w:fill="auto"/>
            <w:hideMark/>
          </w:tcPr>
          <w:p w:rsidR="002639D1"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UCRE &amp; DGAP</w:t>
            </w:r>
          </w:p>
        </w:tc>
        <w:tc>
          <w:tcPr>
            <w:tcW w:w="2268" w:type="dxa"/>
            <w:tcBorders>
              <w:top w:val="nil"/>
              <w:left w:val="nil"/>
              <w:bottom w:val="single" w:sz="4" w:space="0" w:color="auto"/>
              <w:right w:val="single" w:sz="4" w:space="0" w:color="auto"/>
            </w:tcBorders>
            <w:shd w:val="clear" w:color="auto" w:fill="auto"/>
            <w:hideMark/>
          </w:tcPr>
          <w:p w:rsidR="002639D1"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RMP-CV, OSC, MIREX  (cooperação) e GPM (UCRE)</w:t>
            </w:r>
          </w:p>
        </w:tc>
        <w:tc>
          <w:tcPr>
            <w:tcW w:w="2126" w:type="dxa"/>
            <w:tcBorders>
              <w:top w:val="nil"/>
              <w:left w:val="nil"/>
              <w:bottom w:val="single" w:sz="4" w:space="0" w:color="auto"/>
              <w:right w:val="single" w:sz="4" w:space="0" w:color="auto"/>
            </w:tcBorders>
            <w:shd w:val="clear" w:color="auto" w:fill="auto"/>
            <w:hideMark/>
          </w:tcPr>
          <w:p w:rsidR="002639D1" w:rsidRPr="00C90523" w:rsidRDefault="006568A3" w:rsidP="002639D1">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UCRE-Programa Mudar para Competir.</w:t>
            </w:r>
          </w:p>
          <w:p w:rsidR="002639D1" w:rsidRPr="00C90523" w:rsidRDefault="006568A3" w:rsidP="002639D1">
            <w:pPr>
              <w:spacing w:after="0" w:line="240" w:lineRule="auto"/>
              <w:rPr>
                <w:rFonts w:ascii="Calibri" w:eastAsia="Times New Roman" w:hAnsi="Calibri" w:cs="Times New Roman"/>
                <w:sz w:val="20"/>
                <w:szCs w:val="20"/>
              </w:rPr>
            </w:pPr>
            <w:r w:rsidRPr="006568A3">
              <w:rPr>
                <w:rFonts w:ascii="Calibri" w:eastAsia="Times New Roman" w:hAnsi="Calibri" w:cs="Times New Roman"/>
                <w:sz w:val="20"/>
                <w:szCs w:val="20"/>
                <w:lang w:eastAsia="es-ES"/>
              </w:rPr>
              <w:t>DGAP -Melhoria da qualidade dos recursos humanos.</w:t>
            </w:r>
          </w:p>
        </w:tc>
        <w:tc>
          <w:tcPr>
            <w:tcW w:w="2835" w:type="dxa"/>
            <w:tcBorders>
              <w:top w:val="nil"/>
              <w:left w:val="nil"/>
              <w:bottom w:val="single" w:sz="4" w:space="0" w:color="auto"/>
              <w:right w:val="single" w:sz="4" w:space="0" w:color="auto"/>
            </w:tcBorders>
            <w:shd w:val="clear" w:color="auto" w:fill="auto"/>
            <w:hideMark/>
          </w:tcPr>
          <w:p w:rsidR="002639D1" w:rsidRPr="00C90523" w:rsidRDefault="002639D1" w:rsidP="004757E4">
            <w:pPr>
              <w:spacing w:after="0" w:line="240" w:lineRule="auto"/>
              <w:rPr>
                <w:rFonts w:ascii="Calibri" w:eastAsia="Times New Roman" w:hAnsi="Calibri" w:cs="Times New Roman"/>
                <w:sz w:val="20"/>
                <w:szCs w:val="20"/>
              </w:rPr>
            </w:pPr>
          </w:p>
        </w:tc>
      </w:tr>
      <w:tr w:rsidR="003227B7" w:rsidRPr="00C90523" w:rsidTr="00CE5D3D">
        <w:trPr>
          <w:trHeight w:val="164"/>
        </w:trPr>
        <w:tc>
          <w:tcPr>
            <w:tcW w:w="453" w:type="dxa"/>
            <w:vMerge w:val="restart"/>
            <w:tcBorders>
              <w:top w:val="nil"/>
              <w:left w:val="single" w:sz="4" w:space="0" w:color="auto"/>
              <w:bottom w:val="nil"/>
              <w:right w:val="nil"/>
            </w:tcBorders>
            <w:shd w:val="clear" w:color="auto" w:fill="auto"/>
            <w:hideMark/>
          </w:tcPr>
          <w:p w:rsidR="003227B7"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6.3</w:t>
            </w:r>
          </w:p>
        </w:tc>
        <w:tc>
          <w:tcPr>
            <w:tcW w:w="1815" w:type="dxa"/>
            <w:vMerge w:val="restart"/>
            <w:tcBorders>
              <w:top w:val="nil"/>
              <w:left w:val="nil"/>
              <w:bottom w:val="nil"/>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Aumentada a participação das mulheres nos cargos de decisão dos partidos políticos.</w:t>
            </w: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6.3.1</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Integrar a paridade de género nos critérios de seleção de candidatos para os cargos dirigentes dos partidos políticos (regulamento) e adopção de medidas facilitadoras da participação das mulheres (horários, etc.).</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Organização de Mulheres dos Partidos Políticos</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 ICIEG, OSC, IDEA, Parceiros internacionais</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6568A3" w:rsidP="00343AD1">
            <w:pPr>
              <w:spacing w:line="240" w:lineRule="auto"/>
              <w:rPr>
                <w:rFonts w:ascii="Calibri" w:hAnsi="Calibri"/>
                <w:sz w:val="20"/>
                <w:szCs w:val="20"/>
              </w:rPr>
            </w:pPr>
            <w:r w:rsidRPr="006568A3">
              <w:rPr>
                <w:rFonts w:ascii="Calibri" w:hAnsi="Calibri"/>
                <w:sz w:val="20"/>
                <w:szCs w:val="20"/>
              </w:rPr>
              <w:t>*Desenvolvimento das actividades de gestão das finanças publicas.</w:t>
            </w:r>
          </w:p>
        </w:tc>
      </w:tr>
      <w:tr w:rsidR="003227B7" w:rsidRPr="00C90523" w:rsidTr="00CE5D3D">
        <w:trPr>
          <w:trHeight w:val="223"/>
        </w:trPr>
        <w:tc>
          <w:tcPr>
            <w:tcW w:w="453" w:type="dxa"/>
            <w:vMerge/>
            <w:tcBorders>
              <w:top w:val="nil"/>
              <w:left w:val="single" w:sz="4" w:space="0" w:color="auto"/>
              <w:bottom w:val="nil"/>
              <w:right w:val="nil"/>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1815" w:type="dxa"/>
            <w:vMerge/>
            <w:tcBorders>
              <w:top w:val="nil"/>
              <w:left w:val="nil"/>
              <w:bottom w:val="nil"/>
              <w:right w:val="single" w:sz="4" w:space="0" w:color="auto"/>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6.3.2</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Sensibilizar aos militantes de base e dirigentes para apoiar medidas que permitam incrementar a participação das mulheres nos cargos de decisão dos partidos políticos.</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Organização de mulheres dos partidos políticos</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RMP-CV, ICIEG, OSC, IDEA, Parceiros internacionais</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6568A3" w:rsidP="003227B7">
            <w:pPr>
              <w:spacing w:line="240" w:lineRule="auto"/>
              <w:rPr>
                <w:rFonts w:ascii="Calibri" w:hAnsi="Calibri"/>
                <w:sz w:val="20"/>
                <w:szCs w:val="20"/>
              </w:rPr>
            </w:pPr>
            <w:r w:rsidRPr="006568A3">
              <w:rPr>
                <w:rFonts w:ascii="Calibri" w:hAnsi="Calibri"/>
                <w:sz w:val="20"/>
                <w:szCs w:val="20"/>
              </w:rPr>
              <w:t>*Desenvolvimento das actividades de gestão das finanças publicas.</w:t>
            </w:r>
          </w:p>
        </w:tc>
      </w:tr>
      <w:tr w:rsidR="003227B7" w:rsidRPr="00C90523" w:rsidTr="00CE5D3D">
        <w:trPr>
          <w:trHeight w:val="937"/>
        </w:trPr>
        <w:tc>
          <w:tcPr>
            <w:tcW w:w="453" w:type="dxa"/>
            <w:vMerge w:val="restart"/>
            <w:tcBorders>
              <w:top w:val="single" w:sz="4" w:space="0" w:color="auto"/>
              <w:left w:val="single" w:sz="4" w:space="0" w:color="auto"/>
              <w:bottom w:val="single" w:sz="4" w:space="0" w:color="000000"/>
              <w:right w:val="nil"/>
            </w:tcBorders>
            <w:shd w:val="clear" w:color="auto" w:fill="auto"/>
            <w:hideMark/>
          </w:tcPr>
          <w:p w:rsidR="003227B7"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6.4</w:t>
            </w:r>
          </w:p>
        </w:tc>
        <w:tc>
          <w:tcPr>
            <w:tcW w:w="1815" w:type="dxa"/>
            <w:vMerge w:val="restart"/>
            <w:tcBorders>
              <w:top w:val="single" w:sz="4" w:space="0" w:color="auto"/>
              <w:left w:val="nil"/>
              <w:bottom w:val="single" w:sz="4" w:space="0" w:color="000000"/>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Maior contribuição da comunicação social para a criação de um ambiente favorável à participação paritária de mulheres e homens na política.</w:t>
            </w: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6.4.1</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0E3D61">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Adoptar medidas para que os meios de comunicação social favoreçam a igualdade de género, eliminando os estereótipos sexistas ou discriminatórios (adaptado do PNVBG 1.7).</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Direção de órgãos de CS &amp; ICIEG</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AJOC, RMP-CV, OSC, Tutela da CS, parceiros internacionais</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6568A3" w:rsidP="006D0617">
            <w:pPr>
              <w:spacing w:line="240" w:lineRule="auto"/>
              <w:rPr>
                <w:rFonts w:ascii="Calibri" w:hAnsi="Calibri"/>
                <w:sz w:val="20"/>
                <w:szCs w:val="20"/>
              </w:rPr>
            </w:pPr>
            <w:r w:rsidRPr="006568A3">
              <w:rPr>
                <w:rFonts w:ascii="Calibri" w:hAnsi="Calibri"/>
                <w:sz w:val="20"/>
                <w:szCs w:val="20"/>
              </w:rPr>
              <w:t>*Melhoria da comunicação social.</w:t>
            </w:r>
          </w:p>
        </w:tc>
      </w:tr>
      <w:tr w:rsidR="003227B7" w:rsidRPr="00C90523" w:rsidTr="00CE5D3D">
        <w:trPr>
          <w:trHeight w:val="873"/>
        </w:trPr>
        <w:tc>
          <w:tcPr>
            <w:tcW w:w="453" w:type="dxa"/>
            <w:vMerge/>
            <w:tcBorders>
              <w:top w:val="single" w:sz="4" w:space="0" w:color="auto"/>
              <w:left w:val="single" w:sz="4" w:space="0" w:color="auto"/>
              <w:bottom w:val="single" w:sz="4" w:space="0" w:color="000000"/>
              <w:right w:val="nil"/>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1815" w:type="dxa"/>
            <w:vMerge/>
            <w:tcBorders>
              <w:top w:val="single" w:sz="4" w:space="0" w:color="auto"/>
              <w:left w:val="nil"/>
              <w:bottom w:val="single" w:sz="4" w:space="0" w:color="000000"/>
              <w:right w:val="single" w:sz="4" w:space="0" w:color="auto"/>
            </w:tcBorders>
            <w:vAlign w:val="center"/>
            <w:hideMark/>
          </w:tcPr>
          <w:p w:rsidR="003227B7" w:rsidRPr="00C90523" w:rsidRDefault="003227B7" w:rsidP="00B007FE">
            <w:pPr>
              <w:spacing w:after="0" w:line="240" w:lineRule="auto"/>
              <w:rPr>
                <w:rFonts w:ascii="Calibri" w:eastAsia="Times New Roman" w:hAnsi="Calibri" w:cs="Times New Roman"/>
                <w:sz w:val="20"/>
                <w:szCs w:val="20"/>
                <w:lang w:eastAsia="es-ES"/>
              </w:rPr>
            </w:pPr>
          </w:p>
        </w:tc>
        <w:tc>
          <w:tcPr>
            <w:tcW w:w="546" w:type="dxa"/>
            <w:tcBorders>
              <w:top w:val="nil"/>
              <w:left w:val="nil"/>
              <w:bottom w:val="single" w:sz="4" w:space="0" w:color="auto"/>
              <w:right w:val="nil"/>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6.4.2</w:t>
            </w:r>
          </w:p>
        </w:tc>
        <w:tc>
          <w:tcPr>
            <w:tcW w:w="370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Adoptar uma agenda de comunicação social para promover a igualdade de género e participação paritária das mulheres nos processos electorais e reforço das capacidades dos jornalistas para o efeito.</w:t>
            </w:r>
          </w:p>
        </w:tc>
        <w:tc>
          <w:tcPr>
            <w:tcW w:w="143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Direção de órgãos de CS &amp; ICIEG</w:t>
            </w:r>
          </w:p>
        </w:tc>
        <w:tc>
          <w:tcPr>
            <w:tcW w:w="2268"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AJOC, RMP-CV, OSC, Tutela da CS, parceiros internacionais</w:t>
            </w:r>
          </w:p>
        </w:tc>
        <w:tc>
          <w:tcPr>
            <w:tcW w:w="2126" w:type="dxa"/>
            <w:tcBorders>
              <w:top w:val="nil"/>
              <w:left w:val="nil"/>
              <w:bottom w:val="single" w:sz="4" w:space="0" w:color="auto"/>
              <w:right w:val="single" w:sz="4" w:space="0" w:color="auto"/>
            </w:tcBorders>
            <w:shd w:val="clear" w:color="auto" w:fill="auto"/>
            <w:hideMark/>
          </w:tcPr>
          <w:p w:rsidR="003227B7"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5" w:type="dxa"/>
            <w:tcBorders>
              <w:top w:val="nil"/>
              <w:left w:val="nil"/>
              <w:bottom w:val="single" w:sz="4" w:space="0" w:color="auto"/>
              <w:right w:val="single" w:sz="4" w:space="0" w:color="auto"/>
            </w:tcBorders>
            <w:shd w:val="clear" w:color="auto" w:fill="auto"/>
            <w:hideMark/>
          </w:tcPr>
          <w:p w:rsidR="003227B7" w:rsidRPr="00C90523" w:rsidRDefault="006568A3" w:rsidP="006D0617">
            <w:pPr>
              <w:spacing w:line="240" w:lineRule="auto"/>
              <w:rPr>
                <w:rFonts w:ascii="Calibri" w:hAnsi="Calibri"/>
                <w:sz w:val="20"/>
                <w:szCs w:val="20"/>
              </w:rPr>
            </w:pPr>
            <w:r w:rsidRPr="006568A3">
              <w:rPr>
                <w:rFonts w:ascii="Calibri" w:hAnsi="Calibri"/>
                <w:sz w:val="20"/>
                <w:szCs w:val="20"/>
              </w:rPr>
              <w:t>*Melhoria da comunicação social.</w:t>
            </w:r>
          </w:p>
        </w:tc>
      </w:tr>
    </w:tbl>
    <w:p w:rsidR="00F831A4" w:rsidRPr="00C90523" w:rsidRDefault="00F831A4" w:rsidP="00856DE2">
      <w:pPr>
        <w:spacing w:after="0"/>
        <w:rPr>
          <w:b/>
          <w:sz w:val="24"/>
          <w:szCs w:val="24"/>
        </w:rPr>
      </w:pPr>
    </w:p>
    <w:tbl>
      <w:tblPr>
        <w:tblW w:w="16585" w:type="dxa"/>
        <w:tblInd w:w="70" w:type="dxa"/>
        <w:tblCellMar>
          <w:left w:w="70" w:type="dxa"/>
          <w:right w:w="70" w:type="dxa"/>
        </w:tblCellMar>
        <w:tblLook w:val="04A0" w:firstRow="1" w:lastRow="0" w:firstColumn="1" w:lastColumn="0" w:noHBand="0" w:noVBand="1"/>
      </w:tblPr>
      <w:tblGrid>
        <w:gridCol w:w="444"/>
        <w:gridCol w:w="1683"/>
        <w:gridCol w:w="640"/>
        <w:gridCol w:w="3896"/>
        <w:gridCol w:w="1438"/>
        <w:gridCol w:w="1397"/>
        <w:gridCol w:w="2268"/>
        <w:gridCol w:w="1985"/>
        <w:gridCol w:w="2834"/>
      </w:tblGrid>
      <w:tr w:rsidR="00F831A4" w:rsidRPr="00C90523" w:rsidTr="00F33880">
        <w:trPr>
          <w:trHeight w:val="300"/>
          <w:tblHeader/>
        </w:trPr>
        <w:tc>
          <w:tcPr>
            <w:tcW w:w="16585" w:type="dxa"/>
            <w:gridSpan w:val="9"/>
            <w:tcBorders>
              <w:top w:val="nil"/>
              <w:left w:val="nil"/>
              <w:bottom w:val="single" w:sz="4" w:space="0" w:color="000000"/>
              <w:right w:val="nil"/>
            </w:tcBorders>
            <w:shd w:val="clear" w:color="auto" w:fill="auto"/>
            <w:noWrap/>
            <w:vAlign w:val="bottom"/>
            <w:hideMark/>
          </w:tcPr>
          <w:p w:rsidR="00F831A4" w:rsidRPr="00C90523" w:rsidRDefault="006568A3" w:rsidP="004E457B">
            <w:pPr>
              <w:spacing w:after="0" w:line="240" w:lineRule="auto"/>
              <w:rPr>
                <w:rFonts w:ascii="Calibri" w:eastAsia="Times New Roman" w:hAnsi="Calibri" w:cs="Times New Roman"/>
                <w:b/>
                <w:bCs/>
                <w:sz w:val="24"/>
                <w:szCs w:val="24"/>
                <w:lang w:eastAsia="es-ES"/>
              </w:rPr>
            </w:pPr>
            <w:r w:rsidRPr="006568A3">
              <w:rPr>
                <w:rFonts w:ascii="Calibri" w:eastAsia="Times New Roman" w:hAnsi="Calibri" w:cs="Times New Roman"/>
                <w:b/>
                <w:bCs/>
                <w:sz w:val="24"/>
                <w:szCs w:val="24"/>
                <w:lang w:eastAsia="es-ES"/>
              </w:rPr>
              <w:t xml:space="preserve">Eixo estratégico: </w:t>
            </w:r>
            <w:r w:rsidRPr="006568A3">
              <w:rPr>
                <w:rFonts w:ascii="Calibri" w:eastAsia="Times New Roman" w:hAnsi="Calibri" w:cs="Times New Roman"/>
                <w:b/>
                <w:bCs/>
                <w:i/>
                <w:iCs/>
                <w:sz w:val="24"/>
                <w:szCs w:val="24"/>
                <w:lang w:eastAsia="es-ES"/>
              </w:rPr>
              <w:t>Reforço institucional para a integração da abordagem de género nas políticas públicas</w:t>
            </w:r>
          </w:p>
        </w:tc>
      </w:tr>
      <w:tr w:rsidR="00CE5D3D" w:rsidRPr="00C90523" w:rsidTr="00F33880">
        <w:trPr>
          <w:trHeight w:val="510"/>
          <w:tblHeader/>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536" w:type="dxa"/>
            <w:gridSpan w:val="2"/>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438"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Período de implementação</w:t>
            </w:r>
          </w:p>
        </w:tc>
        <w:tc>
          <w:tcPr>
            <w:tcW w:w="1397"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 responsável</w:t>
            </w:r>
          </w:p>
        </w:tc>
        <w:tc>
          <w:tcPr>
            <w:tcW w:w="2268"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B007FE">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Entidades envolvidas</w:t>
            </w:r>
          </w:p>
        </w:tc>
        <w:tc>
          <w:tcPr>
            <w:tcW w:w="1985"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Ligações com programas sectoriais</w:t>
            </w:r>
          </w:p>
        </w:tc>
        <w:tc>
          <w:tcPr>
            <w:tcW w:w="2834" w:type="dxa"/>
            <w:tcBorders>
              <w:top w:val="single" w:sz="4" w:space="0" w:color="000000"/>
              <w:left w:val="single" w:sz="4" w:space="0" w:color="000000"/>
              <w:bottom w:val="single" w:sz="4" w:space="0" w:color="000000"/>
              <w:right w:val="single" w:sz="4" w:space="0" w:color="000000"/>
            </w:tcBorders>
            <w:shd w:val="clear" w:color="000000" w:fill="4F81BD"/>
            <w:hideMark/>
          </w:tcPr>
          <w:p w:rsidR="00CE5D3D" w:rsidRPr="00C90523" w:rsidRDefault="006568A3" w:rsidP="00FF5496">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Ligações com o Programas do DECRP III </w:t>
            </w:r>
          </w:p>
        </w:tc>
      </w:tr>
      <w:tr w:rsidR="00E3408A" w:rsidRPr="00C90523" w:rsidTr="00864404">
        <w:trPr>
          <w:trHeight w:val="589"/>
        </w:trPr>
        <w:tc>
          <w:tcPr>
            <w:tcW w:w="444" w:type="dxa"/>
            <w:vMerge w:val="restart"/>
            <w:tcBorders>
              <w:top w:val="single" w:sz="4" w:space="0" w:color="000000"/>
              <w:left w:val="single" w:sz="4" w:space="0" w:color="auto"/>
              <w:right w:val="nil"/>
            </w:tcBorders>
            <w:shd w:val="clear" w:color="auto" w:fill="auto"/>
            <w:hideMark/>
          </w:tcPr>
          <w:p w:rsidR="00E3408A"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7.1</w:t>
            </w:r>
          </w:p>
        </w:tc>
        <w:tc>
          <w:tcPr>
            <w:tcW w:w="1683" w:type="dxa"/>
            <w:vMerge w:val="restart"/>
            <w:tcBorders>
              <w:top w:val="single" w:sz="4" w:space="0" w:color="000000"/>
              <w:left w:val="nil"/>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 produção estatística permite uma análise mais aprofundada  e maior divulgação da situação de género em Cabo Verde e o desenvolvimento de pesquisa, operacional e académica, em particular em relação a indicadores económicos, à caracterização da situação de grupos específicos de mulheres (e.g. mulheres com deficiência, mulheres rurais, pobreza).</w:t>
            </w:r>
          </w:p>
        </w:tc>
        <w:tc>
          <w:tcPr>
            <w:tcW w:w="640" w:type="dxa"/>
            <w:tcBorders>
              <w:top w:val="single" w:sz="4" w:space="0" w:color="000000"/>
              <w:left w:val="nil"/>
              <w:bottom w:val="single" w:sz="4" w:space="0" w:color="auto"/>
              <w:right w:val="nil"/>
            </w:tcBorders>
            <w:shd w:val="clear" w:color="auto" w:fill="auto"/>
            <w:hideMark/>
          </w:tcPr>
          <w:p w:rsidR="00E3408A"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7.1.1</w:t>
            </w:r>
          </w:p>
        </w:tc>
        <w:tc>
          <w:tcPr>
            <w:tcW w:w="3896" w:type="dxa"/>
            <w:tcBorders>
              <w:top w:val="single" w:sz="4" w:space="0" w:color="000000"/>
              <w:left w:val="nil"/>
              <w:bottom w:val="single" w:sz="4" w:space="0" w:color="auto"/>
              <w:right w:val="single" w:sz="4" w:space="0" w:color="auto"/>
            </w:tcBorders>
            <w:shd w:val="clear" w:color="auto" w:fill="auto"/>
            <w:hideMark/>
          </w:tcPr>
          <w:p w:rsidR="00832F2E"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Produzir e divulgar dados em falta, sobre a situação de homens e mulheres em particular no que diz respeito ao domínio económico, tais como o acesso ao crédito e aos serviços de micro-finanças, desigualdade salarial, propriedade da terra, entre outros), incluindo as informações sobre o sector informal.</w:t>
            </w:r>
          </w:p>
        </w:tc>
        <w:tc>
          <w:tcPr>
            <w:tcW w:w="1438" w:type="dxa"/>
            <w:tcBorders>
              <w:top w:val="single" w:sz="4" w:space="0" w:color="000000"/>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single" w:sz="4" w:space="0" w:color="000000"/>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INE</w:t>
            </w:r>
          </w:p>
        </w:tc>
        <w:tc>
          <w:tcPr>
            <w:tcW w:w="2268" w:type="dxa"/>
            <w:tcBorders>
              <w:top w:val="single" w:sz="4" w:space="0" w:color="000000"/>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Banco Central, FAME-F, MDR, MAHOT, MTIDE, MFP</w:t>
            </w:r>
          </w:p>
        </w:tc>
        <w:tc>
          <w:tcPr>
            <w:tcW w:w="1985" w:type="dxa"/>
            <w:tcBorders>
              <w:top w:val="single" w:sz="4" w:space="0" w:color="000000"/>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Agenda estatística do INE</w:t>
            </w:r>
          </w:p>
          <w:p w:rsidR="00832F2E"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Inquérito às Despesas e Receitas Familiares (IDRF)</w:t>
            </w:r>
          </w:p>
        </w:tc>
        <w:tc>
          <w:tcPr>
            <w:tcW w:w="2834" w:type="dxa"/>
            <w:tcBorders>
              <w:top w:val="single" w:sz="4" w:space="0" w:color="000000"/>
              <w:left w:val="nil"/>
              <w:bottom w:val="single" w:sz="4" w:space="0" w:color="auto"/>
              <w:right w:val="single" w:sz="4" w:space="0" w:color="auto"/>
            </w:tcBorders>
            <w:shd w:val="clear" w:color="auto" w:fill="auto"/>
            <w:hideMark/>
          </w:tcPr>
          <w:p w:rsidR="00E3408A" w:rsidRPr="00C90523" w:rsidRDefault="006568A3" w:rsidP="00E3408A">
            <w:pPr>
              <w:spacing w:line="240" w:lineRule="auto"/>
              <w:rPr>
                <w:rFonts w:ascii="Calibri" w:hAnsi="Calibri"/>
                <w:sz w:val="20"/>
                <w:szCs w:val="20"/>
              </w:rPr>
            </w:pPr>
            <w:r w:rsidRPr="006568A3">
              <w:rPr>
                <w:rFonts w:ascii="Calibri" w:hAnsi="Calibri"/>
                <w:sz w:val="20"/>
                <w:szCs w:val="20"/>
              </w:rPr>
              <w:t>*Melhoria do sistema estatístico nacional</w:t>
            </w:r>
          </w:p>
        </w:tc>
      </w:tr>
      <w:tr w:rsidR="00E3408A" w:rsidRPr="00C90523" w:rsidTr="00F33880">
        <w:trPr>
          <w:trHeight w:val="810"/>
        </w:trPr>
        <w:tc>
          <w:tcPr>
            <w:tcW w:w="444" w:type="dxa"/>
            <w:vMerge/>
            <w:tcBorders>
              <w:top w:val="single" w:sz="4" w:space="0" w:color="auto"/>
              <w:left w:val="single" w:sz="4" w:space="0" w:color="auto"/>
              <w:right w:val="nil"/>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E3408A"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7.1.2</w:t>
            </w:r>
          </w:p>
        </w:tc>
        <w:tc>
          <w:tcPr>
            <w:tcW w:w="3896"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Identificar operações estatísticas regulares chaves  e acompanhar a integração da abordagem de género e a desagregação dos dados, tendo em conta as suas várias etapas, desde a concepção até ao tratamento, análise e divulgação dos dados. </w:t>
            </w:r>
          </w:p>
        </w:tc>
        <w:tc>
          <w:tcPr>
            <w:tcW w:w="1438"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E3408A" w:rsidRPr="00C90523" w:rsidRDefault="006568A3" w:rsidP="00DB4598">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INE</w:t>
            </w:r>
          </w:p>
        </w:tc>
        <w:tc>
          <w:tcPr>
            <w:tcW w:w="2268"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CIGEF/UniCV,</w:t>
            </w:r>
            <w:r w:rsidRPr="006568A3">
              <w:rPr>
                <w:rFonts w:ascii="Calibri" w:eastAsia="Times New Roman" w:hAnsi="Calibri" w:cs="Times New Roman"/>
                <w:sz w:val="20"/>
                <w:szCs w:val="20"/>
                <w:lang w:eastAsia="es-ES"/>
              </w:rPr>
              <w:br/>
              <w:t>MDR, MFP</w:t>
            </w:r>
          </w:p>
        </w:tc>
        <w:tc>
          <w:tcPr>
            <w:tcW w:w="1985"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Agenda estatística do INE</w:t>
            </w:r>
          </w:p>
        </w:tc>
        <w:tc>
          <w:tcPr>
            <w:tcW w:w="2834" w:type="dxa"/>
            <w:tcBorders>
              <w:top w:val="nil"/>
              <w:left w:val="nil"/>
              <w:bottom w:val="single" w:sz="4" w:space="0" w:color="auto"/>
              <w:right w:val="single" w:sz="4" w:space="0" w:color="auto"/>
            </w:tcBorders>
            <w:shd w:val="clear" w:color="auto" w:fill="auto"/>
            <w:hideMark/>
          </w:tcPr>
          <w:p w:rsidR="00E3408A" w:rsidRPr="00C90523" w:rsidRDefault="006568A3" w:rsidP="00E3408A">
            <w:pPr>
              <w:spacing w:line="240" w:lineRule="auto"/>
              <w:rPr>
                <w:rFonts w:ascii="Calibri" w:hAnsi="Calibri"/>
                <w:sz w:val="20"/>
                <w:szCs w:val="20"/>
              </w:rPr>
            </w:pPr>
            <w:r w:rsidRPr="006568A3">
              <w:rPr>
                <w:rFonts w:ascii="Calibri" w:hAnsi="Calibri"/>
                <w:sz w:val="20"/>
                <w:szCs w:val="20"/>
              </w:rPr>
              <w:t>*Melhoria do sistema estatístico nacional</w:t>
            </w:r>
          </w:p>
        </w:tc>
      </w:tr>
      <w:tr w:rsidR="00E3408A" w:rsidRPr="00C90523" w:rsidTr="00F33880">
        <w:trPr>
          <w:trHeight w:val="909"/>
        </w:trPr>
        <w:tc>
          <w:tcPr>
            <w:tcW w:w="444" w:type="dxa"/>
            <w:vMerge/>
            <w:tcBorders>
              <w:top w:val="single" w:sz="4" w:space="0" w:color="auto"/>
              <w:left w:val="single" w:sz="4" w:space="0" w:color="auto"/>
              <w:right w:val="nil"/>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E3408A"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7.1.3</w:t>
            </w:r>
          </w:p>
        </w:tc>
        <w:tc>
          <w:tcPr>
            <w:tcW w:w="3896"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Elaborar análises que permitam uma adequada caracterização de grupos de mulheres em situação de particular desvantagem, nomeadamente mulheres em situação de pobreza, mulheres rurais , mulheres com deficiência.</w:t>
            </w:r>
          </w:p>
        </w:tc>
        <w:tc>
          <w:tcPr>
            <w:tcW w:w="1438" w:type="dxa"/>
            <w:tcBorders>
              <w:top w:val="nil"/>
              <w:left w:val="nil"/>
              <w:bottom w:val="single" w:sz="4" w:space="0" w:color="auto"/>
              <w:right w:val="single" w:sz="4" w:space="0" w:color="auto"/>
            </w:tcBorders>
            <w:shd w:val="clear" w:color="auto" w:fill="auto"/>
            <w:hideMark/>
          </w:tcPr>
          <w:p w:rsidR="00E3408A" w:rsidRPr="00C90523" w:rsidRDefault="006568A3" w:rsidP="002D05DF">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2016</w:t>
            </w:r>
          </w:p>
        </w:tc>
        <w:tc>
          <w:tcPr>
            <w:tcW w:w="1397" w:type="dxa"/>
            <w:tcBorders>
              <w:top w:val="nil"/>
              <w:left w:val="nil"/>
              <w:bottom w:val="single" w:sz="4" w:space="0" w:color="auto"/>
              <w:right w:val="single" w:sz="4" w:space="0" w:color="auto"/>
            </w:tcBorders>
            <w:shd w:val="clear" w:color="auto" w:fill="auto"/>
            <w:hideMark/>
          </w:tcPr>
          <w:p w:rsidR="00E3408A" w:rsidRPr="00C90523" w:rsidRDefault="006568A3" w:rsidP="00DB4598">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E3408A" w:rsidRPr="00C90523" w:rsidRDefault="006568A3" w:rsidP="002E31AF">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INE, CIGEF/UniCV,</w:t>
            </w:r>
            <w:r w:rsidRPr="006568A3">
              <w:rPr>
                <w:rFonts w:ascii="Calibri" w:eastAsia="Times New Roman" w:hAnsi="Calibri" w:cs="Times New Roman"/>
                <w:sz w:val="20"/>
                <w:szCs w:val="20"/>
                <w:lang w:eastAsia="es-ES"/>
              </w:rPr>
              <w:br/>
              <w:t>MDR, MFP, FECAD</w:t>
            </w:r>
          </w:p>
        </w:tc>
        <w:tc>
          <w:tcPr>
            <w:tcW w:w="1985" w:type="dxa"/>
            <w:tcBorders>
              <w:top w:val="nil"/>
              <w:left w:val="nil"/>
              <w:bottom w:val="single" w:sz="4" w:space="0" w:color="auto"/>
              <w:right w:val="single" w:sz="4" w:space="0" w:color="auto"/>
            </w:tcBorders>
            <w:shd w:val="clear" w:color="auto" w:fill="auto"/>
            <w:hideMark/>
          </w:tcPr>
          <w:p w:rsidR="00E3408A" w:rsidRPr="00C90523" w:rsidRDefault="006568A3" w:rsidP="0035142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Agenda estatística do INE</w:t>
            </w:r>
            <w:r w:rsidRPr="006568A3">
              <w:rPr>
                <w:rFonts w:ascii="Calibri" w:eastAsia="Times New Roman" w:hAnsi="Calibri" w:cs="Times New Roman"/>
                <w:sz w:val="20"/>
                <w:szCs w:val="20"/>
                <w:lang w:eastAsia="es-ES"/>
              </w:rPr>
              <w:br/>
              <w:t>LIG- CIGEF/UniCV - Pesquisa sobre mulheres com deficiência</w:t>
            </w:r>
            <w:r w:rsidR="0035142E">
              <w:rPr>
                <w:rFonts w:ascii="Calibri" w:eastAsia="Times New Roman" w:hAnsi="Calibri" w:cs="Times New Roman"/>
                <w:sz w:val="20"/>
                <w:szCs w:val="20"/>
                <w:lang w:eastAsia="es-ES"/>
              </w:rPr>
              <w:t>.</w:t>
            </w:r>
          </w:p>
        </w:tc>
        <w:tc>
          <w:tcPr>
            <w:tcW w:w="2834" w:type="dxa"/>
            <w:tcBorders>
              <w:top w:val="nil"/>
              <w:left w:val="nil"/>
              <w:bottom w:val="single" w:sz="4" w:space="0" w:color="auto"/>
              <w:right w:val="single" w:sz="4" w:space="0" w:color="auto"/>
            </w:tcBorders>
            <w:shd w:val="clear" w:color="auto" w:fill="auto"/>
            <w:hideMark/>
          </w:tcPr>
          <w:p w:rsidR="00E3408A" w:rsidRPr="00C90523" w:rsidRDefault="006568A3" w:rsidP="006C06E0">
            <w:pPr>
              <w:spacing w:after="0" w:line="240" w:lineRule="auto"/>
              <w:rPr>
                <w:rFonts w:ascii="Calibri" w:hAnsi="Calibri"/>
                <w:sz w:val="20"/>
                <w:szCs w:val="20"/>
              </w:rPr>
            </w:pPr>
            <w:r w:rsidRPr="006568A3">
              <w:rPr>
                <w:rFonts w:ascii="Calibri" w:hAnsi="Calibri"/>
                <w:sz w:val="20"/>
                <w:szCs w:val="20"/>
              </w:rPr>
              <w:t>*Reforço da igualdade e equidade de género.</w:t>
            </w:r>
            <w:r w:rsidRPr="006568A3">
              <w:rPr>
                <w:rFonts w:ascii="Calibri" w:hAnsi="Calibri"/>
                <w:sz w:val="20"/>
                <w:szCs w:val="20"/>
              </w:rPr>
              <w:br/>
              <w:t>*Melhoria do sistema estatístico nacional</w:t>
            </w:r>
          </w:p>
        </w:tc>
      </w:tr>
      <w:tr w:rsidR="00E3408A" w:rsidRPr="00C90523" w:rsidTr="00F33880">
        <w:trPr>
          <w:trHeight w:val="447"/>
        </w:trPr>
        <w:tc>
          <w:tcPr>
            <w:tcW w:w="444" w:type="dxa"/>
            <w:vMerge/>
            <w:tcBorders>
              <w:top w:val="single" w:sz="4" w:space="0" w:color="auto"/>
              <w:left w:val="single" w:sz="4" w:space="0" w:color="auto"/>
              <w:right w:val="nil"/>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E3408A"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7.1.4</w:t>
            </w:r>
          </w:p>
        </w:tc>
        <w:tc>
          <w:tcPr>
            <w:tcW w:w="3896" w:type="dxa"/>
            <w:tcBorders>
              <w:top w:val="nil"/>
              <w:left w:val="nil"/>
              <w:bottom w:val="single" w:sz="4" w:space="0" w:color="auto"/>
              <w:right w:val="single" w:sz="4" w:space="0" w:color="auto"/>
            </w:tcBorders>
            <w:shd w:val="clear" w:color="auto" w:fill="auto"/>
            <w:hideMark/>
          </w:tcPr>
          <w:p w:rsidR="00E3408A" w:rsidRPr="00C90523" w:rsidRDefault="006568A3" w:rsidP="00D61A3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Articular </w:t>
            </w:r>
            <w:r w:rsidR="00D61A39">
              <w:rPr>
                <w:rFonts w:ascii="Calibri" w:eastAsia="Times New Roman" w:hAnsi="Calibri" w:cs="Times New Roman"/>
                <w:sz w:val="20"/>
                <w:szCs w:val="20"/>
                <w:lang w:eastAsia="es-ES"/>
              </w:rPr>
              <w:t xml:space="preserve">entre ICIEG, INE e </w:t>
            </w:r>
            <w:r w:rsidRPr="006568A3">
              <w:rPr>
                <w:rFonts w:ascii="Calibri" w:eastAsia="Times New Roman" w:hAnsi="Calibri" w:cs="Times New Roman"/>
                <w:sz w:val="20"/>
                <w:szCs w:val="20"/>
                <w:lang w:eastAsia="es-ES"/>
              </w:rPr>
              <w:t>a academia para a realização de estudos e análises, operacionais e académicas, voltadas para as várias temáticas no domínio da igualdade de género, entre as quais o aprofundamento da reflexão sobre a estrutura familiar em CV.</w:t>
            </w:r>
          </w:p>
        </w:tc>
        <w:tc>
          <w:tcPr>
            <w:tcW w:w="1438"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2016-2018</w:t>
            </w:r>
          </w:p>
        </w:tc>
        <w:tc>
          <w:tcPr>
            <w:tcW w:w="1397" w:type="dxa"/>
            <w:tcBorders>
              <w:top w:val="nil"/>
              <w:left w:val="nil"/>
              <w:bottom w:val="single" w:sz="4" w:space="0" w:color="auto"/>
              <w:right w:val="single" w:sz="4" w:space="0" w:color="auto"/>
            </w:tcBorders>
            <w:shd w:val="clear" w:color="auto" w:fill="auto"/>
            <w:hideMark/>
          </w:tcPr>
          <w:p w:rsidR="00E3408A" w:rsidRPr="00C90523" w:rsidRDefault="006568A3" w:rsidP="00DB4598">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r w:rsidR="00D61A39">
              <w:rPr>
                <w:rFonts w:ascii="Calibri" w:eastAsia="Times New Roman" w:hAnsi="Calibri" w:cs="Times New Roman"/>
                <w:sz w:val="20"/>
                <w:szCs w:val="20"/>
                <w:lang w:eastAsia="es-ES"/>
              </w:rPr>
              <w:t xml:space="preserve"> &amp; INE</w:t>
            </w:r>
          </w:p>
        </w:tc>
        <w:tc>
          <w:tcPr>
            <w:tcW w:w="2268"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CIGEF/UniCV, Universidades, INE</w:t>
            </w:r>
          </w:p>
        </w:tc>
        <w:tc>
          <w:tcPr>
            <w:tcW w:w="1985"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Agenda estatística do INE</w:t>
            </w:r>
            <w:r w:rsidRPr="006568A3">
              <w:rPr>
                <w:rFonts w:ascii="Calibri" w:eastAsia="Times New Roman" w:hAnsi="Calibri" w:cs="Times New Roman"/>
                <w:sz w:val="20"/>
                <w:szCs w:val="20"/>
                <w:lang w:eastAsia="es-ES"/>
              </w:rPr>
              <w:br/>
              <w:t>LIG – Laboratório de Investigação em Género - CIGEF/UniCV</w:t>
            </w:r>
          </w:p>
        </w:tc>
        <w:tc>
          <w:tcPr>
            <w:tcW w:w="2834" w:type="dxa"/>
            <w:tcBorders>
              <w:top w:val="nil"/>
              <w:left w:val="nil"/>
              <w:bottom w:val="single" w:sz="4" w:space="0" w:color="auto"/>
              <w:right w:val="single" w:sz="4" w:space="0" w:color="auto"/>
            </w:tcBorders>
            <w:shd w:val="clear" w:color="auto" w:fill="auto"/>
            <w:hideMark/>
          </w:tcPr>
          <w:p w:rsidR="00E3408A" w:rsidRPr="00C90523" w:rsidRDefault="006568A3" w:rsidP="001B1F12">
            <w:pPr>
              <w:spacing w:line="240" w:lineRule="auto"/>
              <w:rPr>
                <w:rFonts w:ascii="Calibri" w:hAnsi="Calibri"/>
                <w:sz w:val="20"/>
                <w:szCs w:val="20"/>
              </w:rPr>
            </w:pPr>
            <w:r w:rsidRPr="006568A3">
              <w:rPr>
                <w:rFonts w:ascii="Calibri" w:hAnsi="Calibri"/>
                <w:sz w:val="20"/>
                <w:szCs w:val="20"/>
              </w:rPr>
              <w:t>*Reforço da igualdade e equidade de género.</w:t>
            </w:r>
            <w:r w:rsidRPr="006568A3">
              <w:rPr>
                <w:rFonts w:ascii="Calibri" w:hAnsi="Calibri"/>
                <w:sz w:val="20"/>
                <w:szCs w:val="20"/>
              </w:rPr>
              <w:br/>
              <w:t>*Melhoria do sistema estatístico nacional</w:t>
            </w:r>
          </w:p>
        </w:tc>
      </w:tr>
      <w:tr w:rsidR="00E3408A" w:rsidRPr="00C90523" w:rsidTr="00F33880">
        <w:trPr>
          <w:trHeight w:val="77"/>
        </w:trPr>
        <w:tc>
          <w:tcPr>
            <w:tcW w:w="444" w:type="dxa"/>
            <w:vMerge/>
            <w:tcBorders>
              <w:top w:val="single" w:sz="4" w:space="0" w:color="auto"/>
              <w:left w:val="single" w:sz="4" w:space="0" w:color="auto"/>
              <w:right w:val="nil"/>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E3408A" w:rsidRPr="00C90523" w:rsidRDefault="00E3408A"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E3408A"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7.1.5</w:t>
            </w:r>
          </w:p>
        </w:tc>
        <w:tc>
          <w:tcPr>
            <w:tcW w:w="3896" w:type="dxa"/>
            <w:tcBorders>
              <w:top w:val="nil"/>
              <w:left w:val="nil"/>
              <w:bottom w:val="single" w:sz="4" w:space="0" w:color="auto"/>
              <w:right w:val="single" w:sz="4" w:space="0" w:color="auto"/>
            </w:tcBorders>
            <w:shd w:val="clear" w:color="auto" w:fill="auto"/>
            <w:hideMark/>
          </w:tcPr>
          <w:p w:rsidR="00CE5D3D" w:rsidRPr="00C90523" w:rsidRDefault="006568A3" w:rsidP="00CE5D3D">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Fortalecer o Observatório da Igualdade de Género e SNIG como forma de melhorar o acesso aos dados e às análises pelos vários intervenientes</w:t>
            </w:r>
          </w:p>
        </w:tc>
        <w:tc>
          <w:tcPr>
            <w:tcW w:w="1438"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2015-2017</w:t>
            </w:r>
          </w:p>
        </w:tc>
        <w:tc>
          <w:tcPr>
            <w:tcW w:w="1397" w:type="dxa"/>
            <w:tcBorders>
              <w:top w:val="nil"/>
              <w:left w:val="nil"/>
              <w:bottom w:val="single" w:sz="4" w:space="0" w:color="auto"/>
              <w:right w:val="single" w:sz="4" w:space="0" w:color="auto"/>
            </w:tcBorders>
            <w:shd w:val="clear" w:color="auto" w:fill="auto"/>
            <w:hideMark/>
          </w:tcPr>
          <w:p w:rsidR="00E3408A" w:rsidRPr="00C90523" w:rsidRDefault="006568A3" w:rsidP="00DB4598">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ICIEG &amp; INE </w:t>
            </w:r>
          </w:p>
        </w:tc>
        <w:tc>
          <w:tcPr>
            <w:tcW w:w="2268" w:type="dxa"/>
            <w:tcBorders>
              <w:top w:val="nil"/>
              <w:left w:val="nil"/>
              <w:bottom w:val="single" w:sz="4" w:space="0" w:color="auto"/>
              <w:right w:val="single" w:sz="4" w:space="0" w:color="auto"/>
            </w:tcBorders>
            <w:shd w:val="clear" w:color="auto" w:fill="auto"/>
            <w:hideMark/>
          </w:tcPr>
          <w:p w:rsidR="00E3408A"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1985" w:type="dxa"/>
            <w:tcBorders>
              <w:top w:val="nil"/>
              <w:left w:val="nil"/>
              <w:bottom w:val="single" w:sz="4" w:space="0" w:color="auto"/>
              <w:right w:val="single" w:sz="4" w:space="0" w:color="auto"/>
            </w:tcBorders>
            <w:shd w:val="clear" w:color="auto" w:fill="auto"/>
            <w:hideMark/>
          </w:tcPr>
          <w:p w:rsidR="006C06E0"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Agenda estatística do INE. </w:t>
            </w:r>
          </w:p>
          <w:p w:rsidR="00E3408A"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LIG - CIGEF/UniCV</w:t>
            </w:r>
          </w:p>
        </w:tc>
        <w:tc>
          <w:tcPr>
            <w:tcW w:w="2834" w:type="dxa"/>
            <w:tcBorders>
              <w:top w:val="nil"/>
              <w:left w:val="nil"/>
              <w:bottom w:val="single" w:sz="4" w:space="0" w:color="auto"/>
              <w:right w:val="single" w:sz="4" w:space="0" w:color="auto"/>
            </w:tcBorders>
            <w:shd w:val="clear" w:color="auto" w:fill="auto"/>
            <w:hideMark/>
          </w:tcPr>
          <w:p w:rsidR="00E3408A" w:rsidRPr="00C90523" w:rsidRDefault="006568A3" w:rsidP="00E3408A">
            <w:pPr>
              <w:spacing w:line="240" w:lineRule="auto"/>
              <w:rPr>
                <w:rFonts w:ascii="Calibri" w:hAnsi="Calibri"/>
                <w:color w:val="000000"/>
                <w:sz w:val="20"/>
                <w:szCs w:val="20"/>
              </w:rPr>
            </w:pPr>
            <w:r w:rsidRPr="006568A3">
              <w:rPr>
                <w:rFonts w:ascii="Calibri" w:hAnsi="Calibri"/>
                <w:color w:val="000000"/>
                <w:sz w:val="20"/>
                <w:szCs w:val="20"/>
              </w:rPr>
              <w:t>*Melhoria do sistema estatístico nacional</w:t>
            </w:r>
          </w:p>
        </w:tc>
      </w:tr>
      <w:tr w:rsidR="001E0A63" w:rsidRPr="00C90523" w:rsidTr="00F33880">
        <w:trPr>
          <w:trHeight w:val="589"/>
        </w:trPr>
        <w:tc>
          <w:tcPr>
            <w:tcW w:w="444" w:type="dxa"/>
            <w:vMerge w:val="restart"/>
            <w:tcBorders>
              <w:top w:val="single" w:sz="4" w:space="0" w:color="auto"/>
              <w:left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w:t>
            </w:r>
          </w:p>
        </w:tc>
        <w:tc>
          <w:tcPr>
            <w:tcW w:w="1683" w:type="dxa"/>
            <w:vMerge w:val="restart"/>
            <w:tcBorders>
              <w:top w:val="single" w:sz="4" w:space="0" w:color="auto"/>
              <w:left w:val="nil"/>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Maior institucionalização da abordagem de género nos processo de planificação e orçamentação.</w:t>
            </w: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7.2.1</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Elaborar análises do Orçamento Geral do Estado numa perspectiva de género e de recomendações para a sua discussão/aprovação </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Assembleia/</w:t>
            </w:r>
          </w:p>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RMP-CV</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MFP, sectores,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Plano de trabalho da RMP-CV</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hAnsi="Calibri"/>
                <w:sz w:val="20"/>
                <w:szCs w:val="20"/>
              </w:rPr>
            </w:pPr>
            <w:r w:rsidRPr="006568A3">
              <w:rPr>
                <w:rFonts w:ascii="Calibri" w:hAnsi="Calibri"/>
                <w:sz w:val="20"/>
                <w:szCs w:val="20"/>
              </w:rPr>
              <w:t>*Promoção da excelência e transparência na gestão das finanças publicas</w:t>
            </w:r>
          </w:p>
        </w:tc>
      </w:tr>
      <w:tr w:rsidR="001E0A63" w:rsidRPr="00C90523" w:rsidTr="00F33880">
        <w:trPr>
          <w:trHeight w:val="164"/>
        </w:trPr>
        <w:tc>
          <w:tcPr>
            <w:tcW w:w="444" w:type="dxa"/>
            <w:vMerge/>
            <w:tcBorders>
              <w:top w:val="single" w:sz="4" w:space="0" w:color="auto"/>
              <w:left w:val="single" w:sz="4" w:space="0" w:color="auto"/>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7.2.2</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Propor e advogar pela aprovação de normativas no Lei de Base do Orçamento relativas à planificação e orçamentação sensível ao género.</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Assembleia/</w:t>
            </w:r>
          </w:p>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RMP-CV</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MFP,  sectores,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Plano de trabalho da RMP-CV</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hAnsi="Calibri"/>
                <w:sz w:val="20"/>
                <w:szCs w:val="20"/>
              </w:rPr>
            </w:pPr>
            <w:r w:rsidRPr="006568A3">
              <w:rPr>
                <w:rFonts w:ascii="Calibri" w:hAnsi="Calibri"/>
                <w:sz w:val="20"/>
                <w:szCs w:val="20"/>
              </w:rPr>
              <w:t>*Promoção da excelência e transparência na gestão das finanças publicas.</w:t>
            </w:r>
          </w:p>
        </w:tc>
      </w:tr>
      <w:tr w:rsidR="001E0A63" w:rsidRPr="00C90523" w:rsidTr="00F33880">
        <w:trPr>
          <w:trHeight w:val="1280"/>
        </w:trPr>
        <w:tc>
          <w:tcPr>
            <w:tcW w:w="444" w:type="dxa"/>
            <w:vMerge/>
            <w:tcBorders>
              <w:top w:val="single" w:sz="4" w:space="0" w:color="auto"/>
              <w:left w:val="single" w:sz="4" w:space="0" w:color="auto"/>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7.2.3</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Inserir nas normativas e directrizes anuais e instrumentos de planeamento e orçamenta</w:t>
            </w:r>
            <w:r w:rsidR="00864404">
              <w:rPr>
                <w:rFonts w:ascii="Calibri" w:eastAsia="Times New Roman" w:hAnsi="Calibri" w:cs="Times New Roman"/>
                <w:sz w:val="20"/>
                <w:szCs w:val="20"/>
                <w:lang w:eastAsia="es-ES"/>
              </w:rPr>
              <w:t>-</w:t>
            </w:r>
            <w:r w:rsidRPr="006568A3">
              <w:rPr>
                <w:rFonts w:ascii="Calibri" w:eastAsia="Times New Roman" w:hAnsi="Calibri" w:cs="Times New Roman"/>
                <w:sz w:val="20"/>
                <w:szCs w:val="20"/>
                <w:lang w:eastAsia="es-ES"/>
              </w:rPr>
              <w:t>ção (quadros lógicos dos programas e projectos, códigos e classificadores orçamen</w:t>
            </w:r>
            <w:r w:rsidR="00864404">
              <w:rPr>
                <w:rFonts w:ascii="Calibri" w:eastAsia="Times New Roman" w:hAnsi="Calibri" w:cs="Times New Roman"/>
                <w:sz w:val="20"/>
                <w:szCs w:val="20"/>
                <w:lang w:eastAsia="es-ES"/>
              </w:rPr>
              <w:t>-</w:t>
            </w:r>
            <w:r w:rsidRPr="006568A3">
              <w:rPr>
                <w:rFonts w:ascii="Calibri" w:eastAsia="Times New Roman" w:hAnsi="Calibri" w:cs="Times New Roman"/>
                <w:sz w:val="20"/>
                <w:szCs w:val="20"/>
                <w:lang w:eastAsia="es-ES"/>
              </w:rPr>
              <w:t>tários, etc.) propostas para garantir a efectiva transversalidade de género no orçamento do estado e a inclusão das medidas para implementação do PNIG e do PNVBG de responsabilidade dos diferentes sectores.</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MFP</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UCRE, DGPOGs, RMP-CV, ONGs,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jc w:val="center"/>
              <w:rPr>
                <w:rFonts w:ascii="Calibri" w:eastAsia="Times New Roman" w:hAnsi="Calibri" w:cs="Times New Roman"/>
                <w:sz w:val="16"/>
                <w:szCs w:val="16"/>
                <w:lang w:eastAsia="es-ES"/>
              </w:rPr>
            </w:pPr>
            <w:r w:rsidRPr="006568A3">
              <w:rPr>
                <w:rFonts w:ascii="Calibri" w:eastAsia="Times New Roman" w:hAnsi="Calibri" w:cs="Times New Roman"/>
                <w:sz w:val="16"/>
                <w:szCs w:val="16"/>
                <w:lang w:eastAsia="es-ES"/>
              </w:rPr>
              <w:t>-</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hAnsi="Calibri"/>
                <w:sz w:val="20"/>
                <w:szCs w:val="20"/>
              </w:rPr>
            </w:pPr>
            <w:r w:rsidRPr="006568A3">
              <w:rPr>
                <w:rFonts w:ascii="Calibri" w:hAnsi="Calibri"/>
                <w:sz w:val="20"/>
                <w:szCs w:val="20"/>
              </w:rPr>
              <w:t>*Reforço das competências técnicas do MFP.</w:t>
            </w:r>
            <w:r w:rsidRPr="006568A3">
              <w:rPr>
                <w:rFonts w:ascii="Calibri" w:hAnsi="Calibri"/>
                <w:sz w:val="20"/>
                <w:szCs w:val="20"/>
              </w:rPr>
              <w:br/>
              <w:t>*Promoção da excelência e transparência na gestão das finanças publicas.</w:t>
            </w:r>
            <w:r w:rsidRPr="006568A3">
              <w:rPr>
                <w:rFonts w:ascii="Calibri" w:hAnsi="Calibri"/>
                <w:sz w:val="20"/>
                <w:szCs w:val="20"/>
              </w:rPr>
              <w:br/>
              <w:t>*Desenvolvimento das actividades de gestão das finanças publicas.</w:t>
            </w:r>
          </w:p>
        </w:tc>
      </w:tr>
      <w:tr w:rsidR="001E0A63" w:rsidRPr="00C90523" w:rsidTr="0035142E">
        <w:trPr>
          <w:trHeight w:val="164"/>
        </w:trPr>
        <w:tc>
          <w:tcPr>
            <w:tcW w:w="444" w:type="dxa"/>
            <w:vMerge/>
            <w:tcBorders>
              <w:top w:val="single" w:sz="4" w:space="0" w:color="auto"/>
              <w:left w:val="single" w:sz="4" w:space="0" w:color="auto"/>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7.2.4</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Capacitar e acompanhar em matéria de integração da abordagem de género para a aplicação dos  instrumentos de planeamento e orçamentação sensivel ao género  (POSG) e implementação de auditorias de géneros em sectores selecionados.</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&amp; MFP</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DGPOGs, Pontos Focais/células de género, UCRE, RMP-CV,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hAnsi="Calibri"/>
                <w:sz w:val="20"/>
                <w:szCs w:val="20"/>
              </w:rPr>
            </w:pPr>
            <w:r w:rsidRPr="006568A3">
              <w:rPr>
                <w:rFonts w:ascii="Calibri" w:hAnsi="Calibri"/>
                <w:sz w:val="20"/>
                <w:szCs w:val="20"/>
              </w:rPr>
              <w:t>*Promoção da excelência e transparência na gestão das finanças publicas.</w:t>
            </w:r>
            <w:r w:rsidRPr="006568A3">
              <w:rPr>
                <w:rFonts w:ascii="Calibri" w:hAnsi="Calibri"/>
                <w:sz w:val="20"/>
                <w:szCs w:val="20"/>
              </w:rPr>
              <w:br/>
              <w:t>*Desenvolvimento das actividades de gestão das finanças publicas.</w:t>
            </w:r>
          </w:p>
        </w:tc>
      </w:tr>
      <w:tr w:rsidR="001E0A63" w:rsidRPr="00C90523" w:rsidTr="00F33880">
        <w:trPr>
          <w:trHeight w:val="896"/>
        </w:trPr>
        <w:tc>
          <w:tcPr>
            <w:tcW w:w="444" w:type="dxa"/>
            <w:tcBorders>
              <w:top w:val="nil"/>
              <w:left w:val="single" w:sz="4" w:space="0" w:color="auto"/>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7.2.5</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Integrar na formação dos quadros para administração publica um modulo de capacitação em género e planeamento e orçamento na perspectiva de género e o seu reconhecimento nas medidas de incentivos para a promoção na carreira na administração pública.</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D1334E"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UniCV-</w:t>
            </w:r>
          </w:p>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Escola de Negócios e Gestão (ENG) </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CIFEG, MFP, CPE, UCRE, MESCI</w:t>
            </w:r>
          </w:p>
          <w:p w:rsidR="001E0A63" w:rsidRPr="00C90523" w:rsidRDefault="001E0A63" w:rsidP="006C06E0">
            <w:pPr>
              <w:spacing w:after="0" w:line="240" w:lineRule="auto"/>
              <w:jc w:val="center"/>
              <w:rPr>
                <w:rFonts w:ascii="Calibri" w:eastAsia="Times New Roman" w:hAnsi="Calibri" w:cs="Times New Roman"/>
                <w:sz w:val="20"/>
                <w:szCs w:val="20"/>
                <w:lang w:eastAsia="es-ES"/>
              </w:rPr>
            </w:pP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Plano estratégico do CIGEF</w:t>
            </w:r>
          </w:p>
          <w:p w:rsidR="001E0A63" w:rsidRPr="00C90523" w:rsidRDefault="001E0A63" w:rsidP="006C06E0">
            <w:pPr>
              <w:spacing w:after="0" w:line="240" w:lineRule="auto"/>
              <w:jc w:val="center"/>
              <w:rPr>
                <w:rFonts w:ascii="Calibri" w:eastAsia="Times New Roman" w:hAnsi="Calibri" w:cs="Times New Roman"/>
                <w:sz w:val="20"/>
                <w:szCs w:val="20"/>
                <w:lang w:eastAsia="es-ES"/>
              </w:rPr>
            </w:pP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hAnsi="Calibri"/>
                <w:sz w:val="20"/>
                <w:szCs w:val="20"/>
              </w:rPr>
            </w:pPr>
            <w:r w:rsidRPr="006568A3">
              <w:rPr>
                <w:rFonts w:ascii="Calibri" w:eastAsia="Times New Roman" w:hAnsi="Calibri" w:cs="Times New Roman"/>
                <w:color w:val="000000"/>
                <w:sz w:val="20"/>
                <w:szCs w:val="20"/>
                <w:lang w:eastAsia="es-ES"/>
              </w:rPr>
              <w:t>*Formação e capacitação (ensino superior).</w:t>
            </w:r>
            <w:r w:rsidRPr="006568A3">
              <w:rPr>
                <w:rFonts w:ascii="Calibri" w:eastAsia="Times New Roman" w:hAnsi="Calibri" w:cs="Times New Roman"/>
                <w:color w:val="000000"/>
                <w:sz w:val="20"/>
                <w:szCs w:val="20"/>
                <w:lang w:eastAsia="es-ES"/>
              </w:rPr>
              <w:br/>
            </w:r>
          </w:p>
        </w:tc>
      </w:tr>
      <w:tr w:rsidR="001E0A63" w:rsidRPr="00C90523" w:rsidTr="00F76FD3">
        <w:trPr>
          <w:trHeight w:val="1605"/>
        </w:trPr>
        <w:tc>
          <w:tcPr>
            <w:tcW w:w="444" w:type="dxa"/>
            <w:tcBorders>
              <w:left w:val="single" w:sz="4" w:space="0" w:color="auto"/>
              <w:bottom w:val="single" w:sz="4" w:space="0" w:color="auto"/>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single" w:sz="4" w:space="0" w:color="auto"/>
              <w:left w:val="nil"/>
              <w:bottom w:val="single" w:sz="4" w:space="0" w:color="auto"/>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7.2.6</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Apoiar a integração de indicadores desagregado pelo sexo e indicadores de género nos quadros lógicos dos programas do DECRP III (revisão a meio percurso) e acompanhar a integração da abordagem de género na sua avaliação final e na formulação do novo plano de desenvolvimento estratégico.</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MFP</w:t>
            </w:r>
          </w:p>
        </w:tc>
        <w:tc>
          <w:tcPr>
            <w:tcW w:w="2268" w:type="dxa"/>
            <w:tcBorders>
              <w:top w:val="nil"/>
              <w:left w:val="nil"/>
              <w:bottom w:val="single" w:sz="4" w:space="0" w:color="auto"/>
              <w:right w:val="single" w:sz="4" w:space="0" w:color="auto"/>
            </w:tcBorders>
            <w:shd w:val="clear" w:color="auto" w:fill="auto"/>
            <w:hideMark/>
          </w:tcPr>
          <w:p w:rsidR="006604FF" w:rsidRPr="00C90523" w:rsidRDefault="006568A3" w:rsidP="006C06E0">
            <w:pPr>
              <w:spacing w:after="0" w:line="240" w:lineRule="auto"/>
              <w:rPr>
                <w:rFonts w:ascii="Calibri" w:hAnsi="Calibri"/>
                <w:sz w:val="20"/>
                <w:szCs w:val="20"/>
              </w:rPr>
            </w:pPr>
            <w:r w:rsidRPr="006568A3">
              <w:rPr>
                <w:rFonts w:ascii="Calibri" w:eastAsia="Times New Roman" w:hAnsi="Calibri" w:cs="Times New Roman"/>
                <w:sz w:val="20"/>
                <w:szCs w:val="20"/>
                <w:lang w:eastAsia="es-ES"/>
              </w:rPr>
              <w:t>ICIEG, UCRE, CPE</w:t>
            </w:r>
            <w:r w:rsidRPr="006568A3">
              <w:rPr>
                <w:rFonts w:ascii="Calibri" w:hAnsi="Calibri"/>
                <w:sz w:val="20"/>
                <w:szCs w:val="20"/>
              </w:rPr>
              <w:t xml:space="preserve"> Parceiros Internacionais</w:t>
            </w:r>
          </w:p>
          <w:p w:rsidR="001E0A63" w:rsidRPr="00C90523" w:rsidRDefault="001E0A63" w:rsidP="006C06E0">
            <w:pPr>
              <w:spacing w:after="0" w:line="240" w:lineRule="auto"/>
              <w:jc w:val="center"/>
              <w:rPr>
                <w:rFonts w:ascii="Calibri" w:eastAsia="Times New Roman" w:hAnsi="Calibri" w:cs="Times New Roman"/>
                <w:sz w:val="20"/>
                <w:szCs w:val="20"/>
                <w:lang w:eastAsia="es-ES"/>
              </w:rPr>
            </w:pPr>
          </w:p>
        </w:tc>
        <w:tc>
          <w:tcPr>
            <w:tcW w:w="1985" w:type="dxa"/>
            <w:tcBorders>
              <w:top w:val="nil"/>
              <w:left w:val="nil"/>
              <w:bottom w:val="single" w:sz="4" w:space="0" w:color="auto"/>
              <w:right w:val="single" w:sz="4" w:space="0" w:color="auto"/>
            </w:tcBorders>
            <w:shd w:val="clear" w:color="auto" w:fill="auto"/>
            <w:hideMark/>
          </w:tcPr>
          <w:p w:rsidR="009B79D5"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DECRP III</w:t>
            </w:r>
          </w:p>
        </w:tc>
        <w:tc>
          <w:tcPr>
            <w:tcW w:w="2834" w:type="dxa"/>
            <w:tcBorders>
              <w:top w:val="nil"/>
              <w:left w:val="nil"/>
              <w:bottom w:val="single" w:sz="4" w:space="0" w:color="auto"/>
              <w:right w:val="single" w:sz="4" w:space="0" w:color="auto"/>
            </w:tcBorders>
            <w:shd w:val="clear" w:color="auto" w:fill="auto"/>
            <w:hideMark/>
          </w:tcPr>
          <w:p w:rsidR="006604FF" w:rsidRPr="00C90523" w:rsidRDefault="006568A3" w:rsidP="006C06E0">
            <w:pPr>
              <w:spacing w:after="0" w:line="240" w:lineRule="auto"/>
              <w:rPr>
                <w:rFonts w:ascii="Calibri" w:hAnsi="Calibri"/>
                <w:sz w:val="20"/>
                <w:szCs w:val="20"/>
              </w:rPr>
            </w:pPr>
            <w:r w:rsidRPr="006568A3">
              <w:rPr>
                <w:rFonts w:ascii="Calibri" w:hAnsi="Calibri"/>
                <w:sz w:val="20"/>
                <w:szCs w:val="20"/>
              </w:rPr>
              <w:t>*Reforço das competências técnicas do MFP.</w:t>
            </w:r>
          </w:p>
          <w:p w:rsidR="006604FF" w:rsidRPr="00C90523" w:rsidRDefault="006568A3" w:rsidP="006C06E0">
            <w:pPr>
              <w:spacing w:after="0" w:line="240" w:lineRule="auto"/>
              <w:rPr>
                <w:rFonts w:ascii="Calibri" w:hAnsi="Calibri"/>
                <w:sz w:val="20"/>
                <w:szCs w:val="20"/>
              </w:rPr>
            </w:pPr>
            <w:r w:rsidRPr="006568A3">
              <w:rPr>
                <w:rFonts w:ascii="Calibri" w:hAnsi="Calibri"/>
                <w:sz w:val="20"/>
                <w:szCs w:val="20"/>
              </w:rPr>
              <w:t>*Promoção da excelência e transparência na gestão das finanças publicas.</w:t>
            </w:r>
          </w:p>
          <w:p w:rsidR="001E0A63" w:rsidRPr="00C90523" w:rsidRDefault="006568A3" w:rsidP="006C06E0">
            <w:pPr>
              <w:spacing w:after="0" w:line="240" w:lineRule="auto"/>
              <w:rPr>
                <w:rFonts w:ascii="Calibri" w:hAnsi="Calibri"/>
                <w:sz w:val="20"/>
                <w:szCs w:val="20"/>
              </w:rPr>
            </w:pPr>
            <w:r w:rsidRPr="006568A3">
              <w:rPr>
                <w:rFonts w:ascii="Calibri" w:hAnsi="Calibri"/>
                <w:sz w:val="20"/>
                <w:szCs w:val="20"/>
              </w:rPr>
              <w:t>*Desenvolvimento das actividades de gestão das finanças publicas.</w:t>
            </w:r>
          </w:p>
        </w:tc>
      </w:tr>
      <w:tr w:rsidR="001E0A63" w:rsidRPr="00C90523" w:rsidTr="00F76FD3">
        <w:trPr>
          <w:trHeight w:val="1074"/>
        </w:trPr>
        <w:tc>
          <w:tcPr>
            <w:tcW w:w="444" w:type="dxa"/>
            <w:vMerge w:val="restart"/>
            <w:tcBorders>
              <w:top w:val="single" w:sz="4" w:space="0" w:color="auto"/>
              <w:left w:val="single" w:sz="4" w:space="0" w:color="auto"/>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7.3</w:t>
            </w:r>
          </w:p>
        </w:tc>
        <w:tc>
          <w:tcPr>
            <w:tcW w:w="1683" w:type="dxa"/>
            <w:vMerge w:val="restart"/>
            <w:tcBorders>
              <w:top w:val="single" w:sz="4" w:space="0" w:color="auto"/>
              <w:left w:val="nil"/>
              <w:bottom w:val="single" w:sz="4" w:space="0" w:color="000000"/>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Maior visibilidade das ligações entre as questões de igualdade de género e as políticas macroeconómicas e o desenvolvimento em Cabo Verde.</w:t>
            </w:r>
          </w:p>
        </w:tc>
        <w:tc>
          <w:tcPr>
            <w:tcW w:w="640" w:type="dxa"/>
            <w:tcBorders>
              <w:top w:val="single" w:sz="4" w:space="0" w:color="auto"/>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7.3.1</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Capacitar aos decisores, técnicos do sistema de planificação e academia sobre políticas económicas numa perspectiva de género (análise económica, análise das políticas, redução da pobreza, emprego, macro-economia, comércio, fiscalidade, orçamento).</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8C0DE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2017</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314B82">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MFP</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CPE, UCRE, DGPOG, Academia,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1B1F12">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*Reforço das competências técnicas do MFP.</w:t>
            </w:r>
          </w:p>
        </w:tc>
      </w:tr>
      <w:tr w:rsidR="001E0A63" w:rsidRPr="00C90523" w:rsidTr="00F33880">
        <w:trPr>
          <w:trHeight w:val="1354"/>
        </w:trPr>
        <w:tc>
          <w:tcPr>
            <w:tcW w:w="444" w:type="dxa"/>
            <w:vMerge/>
            <w:tcBorders>
              <w:top w:val="nil"/>
              <w:left w:val="single" w:sz="4" w:space="0" w:color="auto"/>
              <w:bottom w:val="single" w:sz="4" w:space="0" w:color="auto"/>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nil"/>
              <w:left w:val="nil"/>
              <w:bottom w:val="single" w:sz="4" w:space="0" w:color="000000"/>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7.3.2</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Acompanhar a discussão a nível nacional sobre o quadro de desenvolvimento para o pós-2015 (objectivos de desenvolvimento sustentáveis – ODS), apoiar a apropriação da igualdade de género como uma questão de desenvolvimento e sua inserção no quadro das políticas macro.</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8C0DE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314B82">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MFP</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C06E0">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CPE, UCRE, DGPOG, Academia,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1B1F12">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*Reforço das competências técnicas do MFP.</w:t>
            </w:r>
          </w:p>
        </w:tc>
      </w:tr>
      <w:tr w:rsidR="001E0A63" w:rsidRPr="00C90523" w:rsidTr="00F33880">
        <w:trPr>
          <w:trHeight w:val="1122"/>
        </w:trPr>
        <w:tc>
          <w:tcPr>
            <w:tcW w:w="444" w:type="dxa"/>
            <w:vMerge w:val="restart"/>
            <w:tcBorders>
              <w:top w:val="nil"/>
              <w:left w:val="single" w:sz="4" w:space="0" w:color="auto"/>
              <w:bottom w:val="single" w:sz="4" w:space="0" w:color="000000"/>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7.4</w:t>
            </w:r>
          </w:p>
        </w:tc>
        <w:tc>
          <w:tcPr>
            <w:tcW w:w="1683" w:type="dxa"/>
            <w:vMerge w:val="restart"/>
            <w:tcBorders>
              <w:top w:val="nil"/>
              <w:left w:val="nil"/>
              <w:bottom w:val="single" w:sz="4" w:space="0" w:color="000000"/>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 com maior capacidade institucional de atuação e coordenação visando a promoção da igualdade de género.</w:t>
            </w: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7.4.1</w:t>
            </w:r>
          </w:p>
        </w:tc>
        <w:tc>
          <w:tcPr>
            <w:tcW w:w="3896" w:type="dxa"/>
            <w:tcBorders>
              <w:top w:val="nil"/>
              <w:left w:val="nil"/>
              <w:bottom w:val="single" w:sz="4" w:space="0" w:color="auto"/>
              <w:right w:val="single" w:sz="4" w:space="0" w:color="auto"/>
            </w:tcBorders>
            <w:shd w:val="clear" w:color="auto" w:fill="auto"/>
            <w:hideMark/>
          </w:tcPr>
          <w:p w:rsidR="001E0A6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Garantir as capacidades técnicas e financeiras do mecanismo nacional para a igualdade de género para o cumprimento do seu mandato na promoção da igualdade de direitos entre mulheres e homens, e a efetiva e visível participação das mulheres em todos os âmbitos  da vida social, económica e politica do país. </w:t>
            </w:r>
          </w:p>
          <w:p w:rsidR="00864404" w:rsidRPr="00C90523" w:rsidRDefault="00864404" w:rsidP="00B007FE">
            <w:pPr>
              <w:spacing w:after="0" w:line="240" w:lineRule="auto"/>
              <w:rPr>
                <w:rFonts w:ascii="Calibri" w:eastAsia="Times New Roman" w:hAnsi="Calibri" w:cs="Times New Roman"/>
                <w:sz w:val="20"/>
                <w:szCs w:val="20"/>
                <w:lang w:eastAsia="es-ES"/>
              </w:rPr>
            </w:pP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Governo, parceiros internacionais </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Programa do ICIEG</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1B1F12">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*Promoção da Igualdade e Equidade de Género.</w:t>
            </w:r>
            <w:r w:rsidRPr="006568A3">
              <w:rPr>
                <w:rFonts w:ascii="Calibri" w:eastAsia="Times New Roman" w:hAnsi="Calibri" w:cs="Times New Roman"/>
                <w:sz w:val="20"/>
                <w:szCs w:val="20"/>
                <w:lang w:eastAsia="es-ES"/>
              </w:rPr>
              <w:br/>
              <w:t>*Reforço da Igualdade e Equidade de Género.</w:t>
            </w:r>
          </w:p>
        </w:tc>
      </w:tr>
      <w:tr w:rsidR="001E0A63" w:rsidRPr="00C90523" w:rsidTr="00F33880">
        <w:trPr>
          <w:trHeight w:val="164"/>
        </w:trPr>
        <w:tc>
          <w:tcPr>
            <w:tcW w:w="444" w:type="dxa"/>
            <w:vMerge/>
            <w:tcBorders>
              <w:top w:val="nil"/>
              <w:left w:val="single" w:sz="4" w:space="0" w:color="auto"/>
              <w:bottom w:val="single" w:sz="4" w:space="0" w:color="000000"/>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nil"/>
              <w:left w:val="nil"/>
              <w:bottom w:val="single" w:sz="4" w:space="0" w:color="000000"/>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7.4.2</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Elaborar cenários para o desenvolvimento institucional do mecanismo para a igualdade de género no contexto da reforma da administração pública em curso.</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8C0DE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CE5D3D">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*Promoção do investimento de Cabo Verde e Reforma de Estado.</w:t>
            </w:r>
            <w:r w:rsidRPr="006568A3">
              <w:rPr>
                <w:rFonts w:ascii="Calibri" w:eastAsia="Times New Roman" w:hAnsi="Calibri" w:cs="Times New Roman"/>
                <w:sz w:val="20"/>
                <w:szCs w:val="20"/>
                <w:lang w:eastAsia="es-ES"/>
              </w:rPr>
              <w:br/>
              <w:t>*Modernização da administração publica.</w:t>
            </w:r>
          </w:p>
        </w:tc>
      </w:tr>
      <w:tr w:rsidR="001E0A63" w:rsidRPr="00C90523" w:rsidTr="00F33880">
        <w:trPr>
          <w:trHeight w:val="829"/>
        </w:trPr>
        <w:tc>
          <w:tcPr>
            <w:tcW w:w="444" w:type="dxa"/>
            <w:vMerge/>
            <w:tcBorders>
              <w:top w:val="nil"/>
              <w:left w:val="single" w:sz="4" w:space="0" w:color="auto"/>
              <w:bottom w:val="single" w:sz="4" w:space="0" w:color="000000"/>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nil"/>
              <w:left w:val="nil"/>
              <w:bottom w:val="single" w:sz="4" w:space="0" w:color="000000"/>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7.4.3</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Coordenar e acompanhar a implementação do PNIG incluindo o plano de seguimento e avaliação.</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8C0DE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Todos os parceiros e parceiras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Programa do ICIEG</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CE5D3D">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*Promoção da Igualdade e Equidade de Género.</w:t>
            </w:r>
            <w:r w:rsidRPr="006568A3">
              <w:rPr>
                <w:rFonts w:ascii="Calibri" w:eastAsia="Times New Roman" w:hAnsi="Calibri" w:cs="Times New Roman"/>
                <w:sz w:val="20"/>
                <w:szCs w:val="20"/>
                <w:lang w:eastAsia="es-ES"/>
              </w:rPr>
              <w:br/>
              <w:t>*Reforço da Igualdade e Equidade de Género.</w:t>
            </w:r>
          </w:p>
        </w:tc>
      </w:tr>
      <w:tr w:rsidR="001E0A63" w:rsidRPr="00C90523" w:rsidTr="00F33880">
        <w:trPr>
          <w:trHeight w:val="164"/>
        </w:trPr>
        <w:tc>
          <w:tcPr>
            <w:tcW w:w="444" w:type="dxa"/>
            <w:vMerge/>
            <w:tcBorders>
              <w:top w:val="nil"/>
              <w:left w:val="single" w:sz="4" w:space="0" w:color="auto"/>
              <w:bottom w:val="single" w:sz="4" w:space="0" w:color="000000"/>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nil"/>
              <w:left w:val="nil"/>
              <w:bottom w:val="single" w:sz="4" w:space="0" w:color="000000"/>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7.4.4</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Desenhar e implementar uma estratégia de mobilização de recursos para a implementação do PNIG, que tenha em conta as modalidades de cooperação para o desenvolvimento a que Cabo Verde pode ter acesso, e as identificar potenciais fontes nacionais de financiamento. </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8C0DE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314B82">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MFP, sector privado,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7D1DA7">
            <w:pPr>
              <w:spacing w:after="0" w:line="240" w:lineRule="auto"/>
              <w:rPr>
                <w:rFonts w:ascii="Calibri" w:hAnsi="Calibri"/>
                <w:sz w:val="20"/>
                <w:szCs w:val="20"/>
              </w:rPr>
            </w:pPr>
            <w:r w:rsidRPr="006568A3">
              <w:rPr>
                <w:rFonts w:ascii="Calibri" w:hAnsi="Calibri"/>
                <w:sz w:val="20"/>
                <w:szCs w:val="20"/>
              </w:rPr>
              <w:t>*Promoção da Igualdade e Equidade de Género.</w:t>
            </w:r>
            <w:r w:rsidRPr="006568A3">
              <w:rPr>
                <w:rFonts w:ascii="Calibri" w:hAnsi="Calibri"/>
                <w:sz w:val="20"/>
                <w:szCs w:val="20"/>
              </w:rPr>
              <w:br/>
              <w:t>*Reforço da Igualdade e Equidade de Género.</w:t>
            </w:r>
          </w:p>
          <w:p w:rsidR="001E0A63" w:rsidRPr="00C90523" w:rsidRDefault="001E0A63" w:rsidP="007D1DA7">
            <w:pPr>
              <w:spacing w:after="0" w:line="240" w:lineRule="auto"/>
              <w:rPr>
                <w:rFonts w:ascii="Calibri" w:eastAsia="Times New Roman" w:hAnsi="Calibri" w:cs="Times New Roman"/>
                <w:sz w:val="20"/>
                <w:szCs w:val="20"/>
                <w:lang w:eastAsia="es-ES"/>
              </w:rPr>
            </w:pPr>
          </w:p>
        </w:tc>
      </w:tr>
      <w:tr w:rsidR="001E0A63" w:rsidRPr="00C90523" w:rsidTr="00F33880">
        <w:trPr>
          <w:trHeight w:val="164"/>
        </w:trPr>
        <w:tc>
          <w:tcPr>
            <w:tcW w:w="444" w:type="dxa"/>
            <w:vMerge/>
            <w:tcBorders>
              <w:top w:val="nil"/>
              <w:left w:val="single" w:sz="4" w:space="0" w:color="auto"/>
              <w:bottom w:val="single" w:sz="4" w:space="0" w:color="000000"/>
              <w:right w:val="nil"/>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1683" w:type="dxa"/>
            <w:vMerge/>
            <w:tcBorders>
              <w:top w:val="nil"/>
              <w:left w:val="nil"/>
              <w:bottom w:val="single" w:sz="4" w:space="0" w:color="000000"/>
              <w:right w:val="single" w:sz="4" w:space="0" w:color="auto"/>
            </w:tcBorders>
            <w:vAlign w:val="center"/>
            <w:hideMark/>
          </w:tcPr>
          <w:p w:rsidR="001E0A63" w:rsidRPr="00C90523" w:rsidRDefault="001E0A63" w:rsidP="00B007FE">
            <w:pPr>
              <w:spacing w:after="0" w:line="240" w:lineRule="auto"/>
              <w:rPr>
                <w:rFonts w:ascii="Calibri" w:eastAsia="Times New Roman" w:hAnsi="Calibri" w:cs="Times New Roman"/>
                <w:sz w:val="20"/>
                <w:szCs w:val="20"/>
                <w:lang w:eastAsia="es-ES"/>
              </w:rPr>
            </w:pP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7.4.5</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Formular um programa para o reforço das capacidades a nível local para o desenho e implementação de políticas de igualdade de género a nível municipal.</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2015-2016</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ICIEG</w:t>
            </w:r>
            <w:r w:rsidR="00EC5F5C">
              <w:rPr>
                <w:rFonts w:ascii="Calibri" w:eastAsia="Times New Roman" w:hAnsi="Calibri" w:cs="Times New Roman"/>
                <w:sz w:val="20"/>
                <w:szCs w:val="20"/>
                <w:lang w:eastAsia="es-ES"/>
              </w:rPr>
              <w:t xml:space="preserve"> &amp; MAHOT</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ANMCV, ONGs, DGAL, parceiros internacionais</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CE5D3D">
            <w:pPr>
              <w:spacing w:after="0" w:line="240" w:lineRule="auto"/>
              <w:rPr>
                <w:rFonts w:ascii="Calibri" w:hAnsi="Calibri"/>
                <w:sz w:val="20"/>
                <w:szCs w:val="20"/>
              </w:rPr>
            </w:pPr>
            <w:r w:rsidRPr="006568A3">
              <w:rPr>
                <w:rFonts w:ascii="Calibri" w:hAnsi="Calibri"/>
                <w:sz w:val="20"/>
                <w:szCs w:val="20"/>
              </w:rPr>
              <w:t>*Reforço da Igualdade e Equidade de Género.</w:t>
            </w:r>
            <w:r w:rsidRPr="006568A3">
              <w:rPr>
                <w:rFonts w:ascii="Calibri" w:hAnsi="Calibri"/>
                <w:sz w:val="20"/>
                <w:szCs w:val="20"/>
              </w:rPr>
              <w:br/>
              <w:t>*Melhoria da descentralização e reforço da administração local.</w:t>
            </w:r>
          </w:p>
        </w:tc>
      </w:tr>
      <w:tr w:rsidR="001E0A63" w:rsidRPr="00C90523" w:rsidTr="00F33880">
        <w:trPr>
          <w:trHeight w:val="1673"/>
        </w:trPr>
        <w:tc>
          <w:tcPr>
            <w:tcW w:w="444" w:type="dxa"/>
            <w:tcBorders>
              <w:top w:val="single" w:sz="4" w:space="0" w:color="000000"/>
              <w:left w:val="single" w:sz="4" w:space="0" w:color="auto"/>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7.5</w:t>
            </w:r>
          </w:p>
        </w:tc>
        <w:tc>
          <w:tcPr>
            <w:tcW w:w="1683"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Melhoramento do quadro legal e regulamentar cabo-verdiano para integrar os direitos humanos das mulheres e promover a igualdade de género</w:t>
            </w:r>
          </w:p>
        </w:tc>
        <w:tc>
          <w:tcPr>
            <w:tcW w:w="640" w:type="dxa"/>
            <w:tcBorders>
              <w:top w:val="nil"/>
              <w:left w:val="nil"/>
              <w:bottom w:val="single" w:sz="4" w:space="0" w:color="auto"/>
              <w:right w:val="nil"/>
            </w:tcBorders>
            <w:shd w:val="clear" w:color="auto" w:fill="auto"/>
            <w:hideMark/>
          </w:tcPr>
          <w:p w:rsidR="001E0A63" w:rsidRPr="00C90523" w:rsidRDefault="006568A3" w:rsidP="00B007FE">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7.5.1</w:t>
            </w:r>
          </w:p>
        </w:tc>
        <w:tc>
          <w:tcPr>
            <w:tcW w:w="3896"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Promover a elaboração/revisão/aprovação de medidas legislativas e regulamentares em áreas chave para promover os direitos humanos das mulheres e a igualdade de género, tais como a regulamentação da lei VBG, licença de maternidade e paternidade, princípio de pago igual por trabalho igual no código laboral, regulamentação da lei IVG, entre outros.</w:t>
            </w:r>
          </w:p>
        </w:tc>
        <w:tc>
          <w:tcPr>
            <w:tcW w:w="1438" w:type="dxa"/>
            <w:tcBorders>
              <w:top w:val="nil"/>
              <w:left w:val="nil"/>
              <w:bottom w:val="single" w:sz="4" w:space="0" w:color="auto"/>
              <w:right w:val="single" w:sz="4" w:space="0" w:color="auto"/>
            </w:tcBorders>
            <w:shd w:val="clear" w:color="auto" w:fill="auto"/>
            <w:hideMark/>
          </w:tcPr>
          <w:p w:rsidR="001E0A63" w:rsidRPr="00C90523" w:rsidRDefault="006568A3" w:rsidP="002D685F">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2015-2018</w:t>
            </w:r>
          </w:p>
        </w:tc>
        <w:tc>
          <w:tcPr>
            <w:tcW w:w="1397" w:type="dxa"/>
            <w:tcBorders>
              <w:top w:val="nil"/>
              <w:left w:val="nil"/>
              <w:bottom w:val="single" w:sz="4" w:space="0" w:color="auto"/>
              <w:right w:val="single" w:sz="4" w:space="0" w:color="auto"/>
            </w:tcBorders>
            <w:shd w:val="clear" w:color="auto" w:fill="auto"/>
            <w:hideMark/>
          </w:tcPr>
          <w:p w:rsidR="001E0A63" w:rsidRPr="00C90523" w:rsidRDefault="006568A3" w:rsidP="008A7635">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Assembleia/</w:t>
            </w:r>
          </w:p>
          <w:p w:rsidR="001E0A63" w:rsidRPr="00C90523" w:rsidRDefault="006568A3" w:rsidP="008A7635">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RMP-CV</w:t>
            </w:r>
          </w:p>
        </w:tc>
        <w:tc>
          <w:tcPr>
            <w:tcW w:w="2268" w:type="dxa"/>
            <w:tcBorders>
              <w:top w:val="nil"/>
              <w:left w:val="nil"/>
              <w:bottom w:val="single" w:sz="4" w:space="0" w:color="auto"/>
              <w:right w:val="single" w:sz="4" w:space="0" w:color="auto"/>
            </w:tcBorders>
            <w:shd w:val="clear" w:color="auto" w:fill="auto"/>
            <w:hideMark/>
          </w:tcPr>
          <w:p w:rsidR="001E0A63" w:rsidRPr="00C90523" w:rsidRDefault="006568A3" w:rsidP="006837D7">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Partidos políticos, Comissões especializadas da Assembleia Nacional</w:t>
            </w:r>
          </w:p>
        </w:tc>
        <w:tc>
          <w:tcPr>
            <w:tcW w:w="1985"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Plano de trabalho da RMP-CV</w:t>
            </w:r>
          </w:p>
        </w:tc>
        <w:tc>
          <w:tcPr>
            <w:tcW w:w="2834" w:type="dxa"/>
            <w:tcBorders>
              <w:top w:val="nil"/>
              <w:left w:val="nil"/>
              <w:bottom w:val="single" w:sz="4" w:space="0" w:color="auto"/>
              <w:right w:val="single" w:sz="4" w:space="0" w:color="auto"/>
            </w:tcBorders>
            <w:shd w:val="clear" w:color="auto" w:fill="auto"/>
            <w:hideMark/>
          </w:tcPr>
          <w:p w:rsidR="001E0A63" w:rsidRPr="00C90523" w:rsidRDefault="006568A3" w:rsidP="00B007FE">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*Programa de Acção Parlamentar.</w:t>
            </w:r>
          </w:p>
          <w:p w:rsidR="009321F4" w:rsidRPr="00C90523" w:rsidRDefault="006568A3" w:rsidP="00CE5D3D">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*Promoção da legalidade democrática do interesse publico e da ação penal.</w:t>
            </w:r>
          </w:p>
        </w:tc>
      </w:tr>
    </w:tbl>
    <w:p w:rsidR="00F0263E" w:rsidRPr="00C90523" w:rsidRDefault="00F0263E" w:rsidP="006C74C7">
      <w:pPr>
        <w:pStyle w:val="Cabealho2"/>
        <w:sectPr w:rsidR="00F0263E" w:rsidRPr="00C90523" w:rsidSect="00420A7A">
          <w:footerReference w:type="first" r:id="rId31"/>
          <w:pgSz w:w="17338" w:h="11906" w:orient="landscape"/>
          <w:pgMar w:top="567" w:right="567" w:bottom="567" w:left="567" w:header="567" w:footer="567" w:gutter="0"/>
          <w:cols w:space="720"/>
          <w:noEndnote/>
          <w:docGrid w:linePitch="299"/>
        </w:sectPr>
      </w:pPr>
    </w:p>
    <w:p w:rsidR="008214C1" w:rsidRPr="00C90523" w:rsidRDefault="006568A3" w:rsidP="000F1F33">
      <w:pPr>
        <w:pStyle w:val="Cabealho1"/>
      </w:pPr>
      <w:bookmarkStart w:id="91" w:name="_Toc406667307"/>
      <w:r w:rsidRPr="006568A3">
        <w:t>4. SEGUIMENTO E AVALIAÇÃO</w:t>
      </w:r>
      <w:bookmarkEnd w:id="91"/>
    </w:p>
    <w:p w:rsidR="00864404" w:rsidRDefault="00864404" w:rsidP="00E737B6">
      <w:pPr>
        <w:tabs>
          <w:tab w:val="left" w:pos="567"/>
          <w:tab w:val="left" w:pos="851"/>
        </w:tabs>
        <w:spacing w:after="0"/>
        <w:jc w:val="both"/>
        <w:rPr>
          <w:rFonts w:cs="Formata-BoldCondensed"/>
          <w:bCs/>
        </w:rPr>
      </w:pPr>
    </w:p>
    <w:p w:rsidR="00E737B6" w:rsidRPr="00C90523" w:rsidRDefault="006568A3" w:rsidP="00E737B6">
      <w:pPr>
        <w:tabs>
          <w:tab w:val="left" w:pos="567"/>
          <w:tab w:val="left" w:pos="851"/>
        </w:tabs>
        <w:spacing w:after="0"/>
        <w:jc w:val="both"/>
        <w:rPr>
          <w:rFonts w:cs="Formata-BoldCondensed"/>
          <w:bCs/>
        </w:rPr>
      </w:pPr>
      <w:r w:rsidRPr="006568A3">
        <w:rPr>
          <w:rFonts w:cs="Formata-BoldCondensed"/>
          <w:bCs/>
        </w:rPr>
        <w:t xml:space="preserve">A experiência passada na implementação dos planos de Igualdade em Cabo Verde da conta da importância de monitorizar a execução do mesmo ao longo do processo e avaliar seus resultados, ao fim do período de vigência. </w:t>
      </w:r>
    </w:p>
    <w:p w:rsidR="00E737B6" w:rsidRPr="00C90523" w:rsidRDefault="00E737B6" w:rsidP="00E737B6">
      <w:pPr>
        <w:tabs>
          <w:tab w:val="left" w:pos="567"/>
          <w:tab w:val="left" w:pos="851"/>
        </w:tabs>
        <w:spacing w:after="0"/>
        <w:jc w:val="both"/>
        <w:rPr>
          <w:rFonts w:cs="Formata-BoldCondensed"/>
          <w:bCs/>
        </w:rPr>
      </w:pPr>
    </w:p>
    <w:p w:rsidR="00E737B6" w:rsidRPr="00C90523" w:rsidRDefault="00D5473D" w:rsidP="00E737B6">
      <w:pPr>
        <w:tabs>
          <w:tab w:val="left" w:pos="567"/>
          <w:tab w:val="left" w:pos="851"/>
        </w:tabs>
        <w:spacing w:after="0"/>
        <w:jc w:val="both"/>
        <w:rPr>
          <w:rFonts w:cs="Formata-BoldCondensed"/>
          <w:bCs/>
        </w:rPr>
      </w:pPr>
      <w:r>
        <w:rPr>
          <w:rFonts w:cs="Formata-BoldCondensed"/>
          <w:bCs/>
        </w:rPr>
        <w:t>Com</w:t>
      </w:r>
      <w:r w:rsidR="006568A3" w:rsidRPr="006568A3">
        <w:rPr>
          <w:rFonts w:cs="Formata-BoldCondensed"/>
          <w:bCs/>
        </w:rPr>
        <w:t xml:space="preserve"> tal fim, o presente plano opta pelo estabelecimento de um sistema de seguimento e avaliação, com a finalidade de se acompanhar o processo de implementação do plano ao longo dos quatro anos, permitindo-se controlar o processo e se verificar se os resultados pretendidos estão sendo cumpridos ao longo dos anos de implementação e se foram alcançados ao fim do período de execução.</w:t>
      </w:r>
    </w:p>
    <w:p w:rsidR="00E737B6" w:rsidRPr="00C90523" w:rsidRDefault="00E737B6" w:rsidP="00E737B6">
      <w:pPr>
        <w:tabs>
          <w:tab w:val="left" w:pos="567"/>
          <w:tab w:val="left" w:pos="851"/>
        </w:tabs>
        <w:spacing w:after="0"/>
        <w:jc w:val="both"/>
        <w:rPr>
          <w:rFonts w:cs="Formata-BoldCondensed"/>
          <w:bCs/>
        </w:rPr>
      </w:pPr>
    </w:p>
    <w:p w:rsidR="003F5D5D" w:rsidRPr="00C90523" w:rsidRDefault="006568A3" w:rsidP="003F5D5D">
      <w:pPr>
        <w:tabs>
          <w:tab w:val="left" w:pos="567"/>
          <w:tab w:val="left" w:pos="851"/>
        </w:tabs>
        <w:spacing w:after="0"/>
        <w:jc w:val="both"/>
        <w:rPr>
          <w:rFonts w:cs="Formata-BoldCondensed"/>
          <w:bCs/>
        </w:rPr>
      </w:pPr>
      <w:r w:rsidRPr="006568A3">
        <w:rPr>
          <w:rFonts w:cs="Formata-BoldCondensed"/>
          <w:bCs/>
        </w:rPr>
        <w:t>Para o quadro de seguimento e avaliação se estabelecem dois níveis de indicadores:</w:t>
      </w:r>
    </w:p>
    <w:p w:rsidR="003F5D5D" w:rsidRPr="00C90523" w:rsidRDefault="006568A3" w:rsidP="003F5D5D">
      <w:pPr>
        <w:pStyle w:val="PargrafodaLista"/>
        <w:numPr>
          <w:ilvl w:val="1"/>
          <w:numId w:val="30"/>
        </w:numPr>
        <w:tabs>
          <w:tab w:val="left" w:pos="851"/>
        </w:tabs>
        <w:spacing w:after="0"/>
        <w:ind w:left="851" w:hanging="567"/>
        <w:jc w:val="both"/>
        <w:rPr>
          <w:rFonts w:cs="Formata-BoldCondensed"/>
          <w:bCs/>
        </w:rPr>
      </w:pPr>
      <w:r w:rsidRPr="006568A3">
        <w:rPr>
          <w:rFonts w:cs="Formata-BoldCondensed"/>
          <w:b/>
          <w:bCs/>
        </w:rPr>
        <w:t>Indicadores de Efeito</w:t>
      </w:r>
      <w:r w:rsidRPr="006568A3">
        <w:rPr>
          <w:rFonts w:cs="Formata-BoldCondensed"/>
          <w:bCs/>
        </w:rPr>
        <w:t>. São definidos diretamente ligados aos resultados de cada eixo do PNIG, tendo em conta as medidas estratégicas a ser implementadas.</w:t>
      </w:r>
    </w:p>
    <w:p w:rsidR="003F5D5D" w:rsidRPr="00C90523" w:rsidRDefault="006568A3" w:rsidP="003F5D5D">
      <w:pPr>
        <w:pStyle w:val="PargrafodaLista"/>
        <w:numPr>
          <w:ilvl w:val="1"/>
          <w:numId w:val="30"/>
        </w:numPr>
        <w:tabs>
          <w:tab w:val="left" w:pos="851"/>
        </w:tabs>
        <w:spacing w:after="0"/>
        <w:ind w:left="851" w:hanging="567"/>
        <w:jc w:val="both"/>
        <w:rPr>
          <w:rFonts w:cs="Formata-BoldCondensed"/>
          <w:bCs/>
        </w:rPr>
      </w:pPr>
      <w:r w:rsidRPr="006568A3">
        <w:rPr>
          <w:rFonts w:cs="Formata-BoldCondensed"/>
          <w:b/>
          <w:bCs/>
        </w:rPr>
        <w:t>Indicadores de Impacto.</w:t>
      </w:r>
      <w:r w:rsidRPr="006568A3">
        <w:rPr>
          <w:rFonts w:cs="Formata-BoldCondensed"/>
          <w:bCs/>
        </w:rPr>
        <w:t xml:space="preserve"> Dão conta dos avanços na situação da igualdade de género no país, nas áreas para as quais o PNIG busca contribuir. Sao um grupo reduzido dos indicadores que fazem parte do  observatório de igualdade de género que foram selecionados tendo em conta os eixos de intervenção do PNIG;</w:t>
      </w:r>
    </w:p>
    <w:p w:rsidR="00213954" w:rsidRPr="00C90523" w:rsidRDefault="00213954" w:rsidP="00003394">
      <w:pPr>
        <w:tabs>
          <w:tab w:val="left" w:pos="567"/>
          <w:tab w:val="left" w:pos="851"/>
        </w:tabs>
        <w:spacing w:after="0"/>
        <w:jc w:val="both"/>
        <w:rPr>
          <w:rFonts w:cs="Formata-BoldCondensed"/>
          <w:bCs/>
        </w:rPr>
      </w:pPr>
    </w:p>
    <w:p w:rsidR="003800D2" w:rsidRPr="00C90523" w:rsidRDefault="008375FD" w:rsidP="00E737B6">
      <w:pPr>
        <w:tabs>
          <w:tab w:val="left" w:pos="567"/>
          <w:tab w:val="left" w:pos="851"/>
        </w:tabs>
        <w:spacing w:after="0"/>
        <w:jc w:val="both"/>
        <w:rPr>
          <w:rFonts w:cs="Formata-BoldCondensed"/>
          <w:bCs/>
        </w:rPr>
      </w:pPr>
      <w:r>
        <w:rPr>
          <w:rFonts w:cs="Formata-BoldCondensed"/>
          <w:bCs/>
          <w:noProof/>
        </w:rPr>
        <mc:AlternateContent>
          <mc:Choice Requires="wps">
            <w:drawing>
              <wp:inline distT="0" distB="0" distL="0" distR="0">
                <wp:extent cx="5505450" cy="3310890"/>
                <wp:effectExtent l="9525" t="9525" r="9525" b="13335"/>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310890"/>
                        </a:xfrm>
                        <a:prstGeom prst="rect">
                          <a:avLst/>
                        </a:prstGeom>
                        <a:solidFill>
                          <a:srgbClr val="FFFFFF"/>
                        </a:solidFill>
                        <a:ln w="9525">
                          <a:solidFill>
                            <a:srgbClr val="000000"/>
                          </a:solidFill>
                          <a:miter lim="800000"/>
                          <a:headEnd/>
                          <a:tailEnd/>
                        </a:ln>
                      </wps:spPr>
                      <wps:txbx>
                        <w:txbxContent>
                          <w:p w:rsidR="008A7270" w:rsidRPr="00A62E3D" w:rsidRDefault="008A7270" w:rsidP="003800D2">
                            <w:pPr>
                              <w:jc w:val="center"/>
                              <w:rPr>
                                <w:b/>
                                <w:lang w:val="pt-BR"/>
                              </w:rPr>
                            </w:pPr>
                            <w:r>
                              <w:rPr>
                                <w:b/>
                                <w:lang w:val="pt-BR"/>
                              </w:rPr>
                              <w:t xml:space="preserve">Figura 3: </w:t>
                            </w:r>
                            <w:r w:rsidRPr="00A62E3D">
                              <w:rPr>
                                <w:b/>
                                <w:lang w:val="pt-BR"/>
                              </w:rPr>
                              <w:t>QUADRO DE SEGUIMENTO E AVALIAÇAO</w:t>
                            </w:r>
                          </w:p>
                          <w:p w:rsidR="008A7270" w:rsidRDefault="008A7270" w:rsidP="003800D2">
                            <w:pPr>
                              <w:ind w:firstLine="284"/>
                              <w:rPr>
                                <w:lang w:val="es-ES"/>
                              </w:rPr>
                            </w:pPr>
                            <w:r>
                              <w:rPr>
                                <w:noProof/>
                              </w:rPr>
                              <w:drawing>
                                <wp:inline distT="0" distB="0" distL="0" distR="0">
                                  <wp:extent cx="1895475" cy="1933575"/>
                                  <wp:effectExtent l="19050" t="0" r="9525" b="0"/>
                                  <wp:docPr id="6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1895475" cy="1933575"/>
                                          </a:xfrm>
                                          <a:prstGeom prst="rect">
                                            <a:avLst/>
                                          </a:prstGeom>
                                          <a:noFill/>
                                          <a:ln w="9525">
                                            <a:noFill/>
                                            <a:miter lim="800000"/>
                                            <a:headEnd/>
                                            <a:tailEnd/>
                                          </a:ln>
                                        </pic:spPr>
                                      </pic:pic>
                                    </a:graphicData>
                                  </a:graphic>
                                </wp:inline>
                              </w:drawing>
                            </w:r>
                            <w:r>
                              <w:rPr>
                                <w:lang w:val="es-ES"/>
                              </w:rPr>
                              <w:tab/>
                            </w:r>
                            <w:r>
                              <w:rPr>
                                <w:lang w:val="es-ES"/>
                              </w:rPr>
                              <w:tab/>
                            </w:r>
                            <w:r>
                              <w:rPr>
                                <w:noProof/>
                              </w:rPr>
                              <w:drawing>
                                <wp:inline distT="0" distB="0" distL="0" distR="0">
                                  <wp:extent cx="1895475" cy="1933575"/>
                                  <wp:effectExtent l="19050" t="0" r="9525" b="0"/>
                                  <wp:docPr id="67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srcRect/>
                                          <a:stretch>
                                            <a:fillRect/>
                                          </a:stretch>
                                        </pic:blipFill>
                                        <pic:spPr bwMode="auto">
                                          <a:xfrm>
                                            <a:off x="0" y="0"/>
                                            <a:ext cx="1895475" cy="1933575"/>
                                          </a:xfrm>
                                          <a:prstGeom prst="rect">
                                            <a:avLst/>
                                          </a:prstGeom>
                                          <a:noFill/>
                                          <a:ln w="9525">
                                            <a:noFill/>
                                            <a:miter lim="800000"/>
                                            <a:headEnd/>
                                            <a:tailEnd/>
                                          </a:ln>
                                        </pic:spPr>
                                      </pic:pic>
                                    </a:graphicData>
                                  </a:graphic>
                                </wp:inline>
                              </w:drawing>
                            </w:r>
                            <w:r w:rsidRPr="00A62E3D">
                              <w:rPr>
                                <w:noProof/>
                              </w:rPr>
                              <w:drawing>
                                <wp:inline distT="0" distB="0" distL="0" distR="0">
                                  <wp:extent cx="4807585" cy="1000638"/>
                                  <wp:effectExtent l="0" t="0" r="12065" b="0"/>
                                  <wp:docPr id="679"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12" o:spid="_x0000_s1030" type="#_x0000_t202" style="width:433.5pt;height:2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">
                <v:textbox>
                  <w:txbxContent>
                    <w:p w:rsidR="008A7270" w:rsidRPr="00A62E3D" w:rsidRDefault="008A7270" w:rsidP="003800D2">
                      <w:pPr>
                        <w:jc w:val="center"/>
                        <w:rPr>
                          <w:b/>
                          <w:lang w:val="pt-BR"/>
                        </w:rPr>
                      </w:pPr>
                      <w:r>
                        <w:rPr>
                          <w:b/>
                          <w:lang w:val="pt-BR"/>
                        </w:rPr>
                        <w:t xml:space="preserve">Figura 3: </w:t>
                      </w:r>
                      <w:r w:rsidRPr="00A62E3D">
                        <w:rPr>
                          <w:b/>
                          <w:lang w:val="pt-BR"/>
                        </w:rPr>
                        <w:t>QUADRO DE SEGUIMENTO E AVALIAÇAO</w:t>
                      </w:r>
                    </w:p>
                    <w:p w:rsidR="008A7270" w:rsidRDefault="008A7270" w:rsidP="003800D2">
                      <w:pPr>
                        <w:ind w:firstLine="284"/>
                        <w:rPr>
                          <w:lang w:val="es-ES"/>
                        </w:rPr>
                      </w:pPr>
                      <w:r>
                        <w:rPr>
                          <w:noProof/>
                        </w:rPr>
                        <w:drawing>
                          <wp:inline distT="0" distB="0" distL="0" distR="0">
                            <wp:extent cx="1895475" cy="1933575"/>
                            <wp:effectExtent l="19050" t="0" r="9525" b="0"/>
                            <wp:docPr id="6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1895475" cy="1933575"/>
                                    </a:xfrm>
                                    <a:prstGeom prst="rect">
                                      <a:avLst/>
                                    </a:prstGeom>
                                    <a:noFill/>
                                    <a:ln w="9525">
                                      <a:noFill/>
                                      <a:miter lim="800000"/>
                                      <a:headEnd/>
                                      <a:tailEnd/>
                                    </a:ln>
                                  </pic:spPr>
                                </pic:pic>
                              </a:graphicData>
                            </a:graphic>
                          </wp:inline>
                        </w:drawing>
                      </w:r>
                      <w:r>
                        <w:rPr>
                          <w:lang w:val="es-ES"/>
                        </w:rPr>
                        <w:tab/>
                      </w:r>
                      <w:r>
                        <w:rPr>
                          <w:lang w:val="es-ES"/>
                        </w:rPr>
                        <w:tab/>
                      </w:r>
                      <w:r>
                        <w:rPr>
                          <w:noProof/>
                        </w:rPr>
                        <w:drawing>
                          <wp:inline distT="0" distB="0" distL="0" distR="0">
                            <wp:extent cx="1895475" cy="1933575"/>
                            <wp:effectExtent l="19050" t="0" r="9525" b="0"/>
                            <wp:docPr id="67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srcRect/>
                                    <a:stretch>
                                      <a:fillRect/>
                                    </a:stretch>
                                  </pic:blipFill>
                                  <pic:spPr bwMode="auto">
                                    <a:xfrm>
                                      <a:off x="0" y="0"/>
                                      <a:ext cx="1895475" cy="1933575"/>
                                    </a:xfrm>
                                    <a:prstGeom prst="rect">
                                      <a:avLst/>
                                    </a:prstGeom>
                                    <a:noFill/>
                                    <a:ln w="9525">
                                      <a:noFill/>
                                      <a:miter lim="800000"/>
                                      <a:headEnd/>
                                      <a:tailEnd/>
                                    </a:ln>
                                  </pic:spPr>
                                </pic:pic>
                              </a:graphicData>
                            </a:graphic>
                          </wp:inline>
                        </w:drawing>
                      </w:r>
                      <w:r w:rsidRPr="00A62E3D">
                        <w:rPr>
                          <w:noProof/>
                        </w:rPr>
                        <w:drawing>
                          <wp:inline distT="0" distB="0" distL="0" distR="0">
                            <wp:extent cx="4807585" cy="1000638"/>
                            <wp:effectExtent l="0" t="0" r="12065" b="0"/>
                            <wp:docPr id="679"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35" r:qs="rId36" r:cs="rId37"/>
                              </a:graphicData>
                            </a:graphic>
                          </wp:inline>
                        </w:drawing>
                      </w:r>
                    </w:p>
                  </w:txbxContent>
                </v:textbox>
                <w10:anchorlock/>
              </v:shape>
            </w:pict>
          </mc:Fallback>
        </mc:AlternateContent>
      </w:r>
    </w:p>
    <w:p w:rsidR="00816828" w:rsidRPr="00C90523" w:rsidRDefault="00816828" w:rsidP="00E737B6">
      <w:pPr>
        <w:tabs>
          <w:tab w:val="left" w:pos="567"/>
          <w:tab w:val="left" w:pos="851"/>
        </w:tabs>
        <w:spacing w:after="0"/>
        <w:jc w:val="both"/>
        <w:rPr>
          <w:rFonts w:cs="Formata-BoldCondensed"/>
          <w:bCs/>
        </w:rPr>
      </w:pPr>
    </w:p>
    <w:p w:rsidR="00816828" w:rsidRPr="00C90523" w:rsidRDefault="006568A3" w:rsidP="00816828">
      <w:pPr>
        <w:tabs>
          <w:tab w:val="left" w:pos="567"/>
          <w:tab w:val="left" w:pos="851"/>
        </w:tabs>
        <w:spacing w:after="0"/>
        <w:jc w:val="both"/>
        <w:rPr>
          <w:rFonts w:cs="Formata-BoldCondensed"/>
          <w:bCs/>
          <w:highlight w:val="yellow"/>
        </w:rPr>
      </w:pPr>
      <w:r w:rsidRPr="006568A3">
        <w:rPr>
          <w:rFonts w:cs="Formata-BoldCondensed"/>
          <w:bCs/>
        </w:rPr>
        <w:t xml:space="preserve">Durante o período do presente plano se efectuará a colecta sistemática das informações de como o plano progride, com base no cumprimento das medidas estratégicas e nos avanços nos indicadores de efeito. A colecta será feita através dum relatório semestral a ser preenchido pelos parceiros envolvidos (ver anexo 1 do Plano), com o objectivo de monitorizar a execução das medidas previstas ou analisar as dificuldades surgidas no caso de falta de implementação das mesmas e, em consequência, reprogramar ou redimensionar as acções em função da realidade e buscando-se promover condições mais adequadas e adaptadas ao contexto da execução. O relatório incluirá informações tanto quantitativos como qualitativos. </w:t>
      </w:r>
    </w:p>
    <w:p w:rsidR="00E737B6" w:rsidRPr="00C90523" w:rsidRDefault="00E737B6" w:rsidP="00E737B6">
      <w:pPr>
        <w:tabs>
          <w:tab w:val="left" w:pos="567"/>
          <w:tab w:val="left" w:pos="851"/>
        </w:tabs>
        <w:spacing w:after="0"/>
        <w:jc w:val="both"/>
        <w:rPr>
          <w:rFonts w:cs="Formata-BoldCondensed"/>
          <w:bCs/>
        </w:rPr>
      </w:pPr>
    </w:p>
    <w:p w:rsidR="00D075EF" w:rsidRPr="00C90523" w:rsidRDefault="006568A3" w:rsidP="00D075EF">
      <w:pPr>
        <w:tabs>
          <w:tab w:val="left" w:pos="567"/>
          <w:tab w:val="left" w:pos="851"/>
        </w:tabs>
        <w:spacing w:after="0"/>
        <w:jc w:val="both"/>
        <w:rPr>
          <w:rFonts w:cs="Formata-BoldCondensed"/>
          <w:bCs/>
        </w:rPr>
      </w:pPr>
      <w:r w:rsidRPr="006568A3">
        <w:rPr>
          <w:rFonts w:cs="Formata-BoldCondensed"/>
          <w:bCs/>
        </w:rPr>
        <w:t>O seguimento ao longo do período de execução do plano permitirá que, ao fim do processo de implementação, se tenha em mãos os elementos necessários para se avaliar tanto os resultados do processo quanto os resultados do plano, observando-se o que foi cumprido na totalidade ou parcialmente, os ganhos, os problemas enfrentados, o que deveria ser melhorado, os sucessos, etc. A avaliação do processo terá como base de análise o cumprimento dos resultados estratégicos previstos medidos em relação aos  avanços nos indicadores de efeito. Para alem disso, será analisado o progresso nos indicadores de impacto seleccionados.</w:t>
      </w:r>
    </w:p>
    <w:p w:rsidR="00E737B6" w:rsidRPr="00C90523" w:rsidRDefault="006568A3" w:rsidP="00E737B6">
      <w:pPr>
        <w:tabs>
          <w:tab w:val="left" w:pos="567"/>
          <w:tab w:val="left" w:pos="851"/>
        </w:tabs>
        <w:spacing w:after="0"/>
        <w:jc w:val="both"/>
        <w:rPr>
          <w:rFonts w:cs="Formata-BoldCondensed"/>
          <w:bCs/>
          <w:color w:val="0070C0"/>
          <w:highlight w:val="yellow"/>
        </w:rPr>
      </w:pPr>
      <w:r w:rsidRPr="006568A3">
        <w:rPr>
          <w:rFonts w:cs="Formata-BoldCondensed"/>
          <w:bCs/>
        </w:rPr>
        <w:t xml:space="preserve"> </w:t>
      </w:r>
    </w:p>
    <w:p w:rsidR="00095D7E" w:rsidRPr="00C90523" w:rsidRDefault="006568A3" w:rsidP="00095D7E">
      <w:pPr>
        <w:tabs>
          <w:tab w:val="left" w:pos="567"/>
          <w:tab w:val="left" w:pos="851"/>
        </w:tabs>
        <w:spacing w:after="0"/>
        <w:jc w:val="both"/>
        <w:rPr>
          <w:rFonts w:cs="Formata-BoldCondensed"/>
          <w:bCs/>
        </w:rPr>
      </w:pPr>
      <w:r w:rsidRPr="006568A3">
        <w:rPr>
          <w:rFonts w:cs="Formata-BoldCondensed"/>
          <w:bCs/>
        </w:rPr>
        <w:t>A responsabilidade geral para o seguimento e a avaliação do PNIG cabe ao ICIEG, com o apoio efectivo do Comité Técnico Alargado que foi criado para sua formulação e cuja continuidade será formalizada pelas autoridades respectivas numa lógica de implicação na sua implementação. Serão membros do comité alargado, as pessoas indigitadas por sua hierarquia, seguindo critérios que permitam a tomada de decisões, para assegurar a operacionalização e seguimento das medidas de responsabilidade de cada entidade na implementação do Plano:</w:t>
      </w:r>
    </w:p>
    <w:p w:rsidR="00095D7E" w:rsidRPr="00F207D0" w:rsidRDefault="00095D7E" w:rsidP="00095D7E">
      <w:pPr>
        <w:pStyle w:val="PargrafodaLista"/>
        <w:numPr>
          <w:ilvl w:val="0"/>
          <w:numId w:val="13"/>
        </w:numPr>
        <w:spacing w:after="0"/>
        <w:ind w:left="709" w:hanging="425"/>
        <w:contextualSpacing w:val="0"/>
        <w:jc w:val="both"/>
        <w:rPr>
          <w:rFonts w:cstheme="minorHAnsi"/>
          <w:lang w:val="pt-BR"/>
        </w:rPr>
      </w:pPr>
      <w:r w:rsidRPr="00F207D0">
        <w:rPr>
          <w:rFonts w:cstheme="minorHAnsi"/>
          <w:lang w:val="pt-BR"/>
        </w:rPr>
        <w:t xml:space="preserve">Instituto Cabo-verdiano para Igualdade de Género (ICIEG) como organismo público responsável pela coordenação das políticas públicas relativas à igualdade de género; </w:t>
      </w:r>
    </w:p>
    <w:p w:rsidR="00095D7E" w:rsidRPr="00F207D0" w:rsidRDefault="00095D7E" w:rsidP="00095D7E">
      <w:pPr>
        <w:pStyle w:val="PargrafodaLista"/>
        <w:numPr>
          <w:ilvl w:val="0"/>
          <w:numId w:val="13"/>
        </w:numPr>
        <w:spacing w:after="0"/>
        <w:ind w:left="709" w:hanging="425"/>
        <w:contextualSpacing w:val="0"/>
        <w:jc w:val="both"/>
        <w:rPr>
          <w:rFonts w:cstheme="minorHAnsi"/>
          <w:lang w:val="pt-BR"/>
        </w:rPr>
      </w:pPr>
      <w:r w:rsidRPr="00F207D0">
        <w:rPr>
          <w:rFonts w:cstheme="minorHAnsi"/>
          <w:lang w:val="pt-BR"/>
        </w:rPr>
        <w:t>Ag</w:t>
      </w:r>
      <w:r w:rsidR="00F207D0">
        <w:rPr>
          <w:rFonts w:cstheme="minorHAnsi"/>
          <w:lang w:val="pt-BR"/>
        </w:rPr>
        <w:t>ê</w:t>
      </w:r>
      <w:r w:rsidRPr="00F207D0">
        <w:rPr>
          <w:rFonts w:cstheme="minorHAnsi"/>
          <w:lang w:val="pt-BR"/>
        </w:rPr>
        <w:t>ncia para o Desenvolvimento Empresarial e Inovação (ADEI);</w:t>
      </w:r>
    </w:p>
    <w:p w:rsidR="00095D7E" w:rsidRPr="00C90523" w:rsidRDefault="00095D7E" w:rsidP="00095D7E">
      <w:pPr>
        <w:pStyle w:val="PargrafodaLista"/>
        <w:numPr>
          <w:ilvl w:val="0"/>
          <w:numId w:val="13"/>
        </w:numPr>
        <w:spacing w:after="0"/>
        <w:ind w:left="709" w:hanging="425"/>
        <w:contextualSpacing w:val="0"/>
        <w:jc w:val="both"/>
        <w:rPr>
          <w:rFonts w:eastAsia="SimSun" w:cstheme="minorHAnsi"/>
        </w:rPr>
      </w:pPr>
      <w:r w:rsidRPr="00F207D0">
        <w:rPr>
          <w:rFonts w:eastAsia="SimSun" w:cstheme="minorHAnsi"/>
          <w:lang w:val="pt-BR"/>
        </w:rPr>
        <w:t>Centro de Investigação e Formação</w:t>
      </w:r>
      <w:r w:rsidR="006568A3" w:rsidRPr="006568A3">
        <w:rPr>
          <w:rFonts w:eastAsia="SimSun" w:cstheme="minorHAnsi"/>
        </w:rPr>
        <w:t xml:space="preserve"> em Género e Família (CIGEF/Uni-CV); </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Centro de Política Estratégica (CPE);</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Comité de Coordenação de Combate ao SIDA (CCS-SIDA);</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Instituto do Emprego e de Formação Profissional (IEFP);</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Instituto Nacional de Estatística (INE);</w:t>
      </w:r>
    </w:p>
    <w:p w:rsidR="00095D7E" w:rsidRPr="00C90523" w:rsidRDefault="00F207D0" w:rsidP="00095D7E">
      <w:pPr>
        <w:pStyle w:val="PargrafodaLista"/>
        <w:numPr>
          <w:ilvl w:val="0"/>
          <w:numId w:val="13"/>
        </w:numPr>
        <w:spacing w:after="0"/>
        <w:ind w:left="709" w:hanging="425"/>
        <w:contextualSpacing w:val="0"/>
        <w:jc w:val="both"/>
        <w:rPr>
          <w:rFonts w:eastAsia="SimSun" w:cstheme="minorHAnsi"/>
        </w:rPr>
      </w:pPr>
      <w:r>
        <w:rPr>
          <w:rFonts w:eastAsia="SimSun" w:cstheme="minorHAnsi"/>
        </w:rPr>
        <w:t xml:space="preserve"> O responsável pelos curricula é o MED, para o pre-escolar, EB e ES, portanto na matriz coloquei eles como parceiros. Sim as instituições de formação de professores têm de adaptar o seu currículo, mas é noutra medida</w:t>
      </w:r>
      <w:r w:rsidR="00F23562">
        <w:rPr>
          <w:rFonts w:eastAsia="SimSun" w:cstheme="minorHAnsi"/>
        </w:rPr>
        <w:t>, já coloquei lá como responsável mas são 3 responsáveis (IEFP, UNICV, IUE) sob a coordenação do MED, por isso acho que deixar só o MED</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de Ambiente, Habitação e Ordenamento do Território (MAHOT): Direção Geral do Ambiente (DGA) e Agencia Nacional de Água e Saneamento (ANAS);</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de Desenvolvimento Rural (MDR);</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da Educação e Desporto (MED);</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das Finanças e do Planeamento (MFP);</w:t>
      </w:r>
    </w:p>
    <w:p w:rsidR="00D60102"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da Juventude, Emprego e Desenvolvimento dos Recursos Humanos (MJEDRH): Célula de execução do plano integra</w:t>
      </w:r>
      <w:r w:rsidR="00D60102">
        <w:rPr>
          <w:rFonts w:eastAsia="SimSun" w:cstheme="minorHAnsi"/>
        </w:rPr>
        <w:t>do</w:t>
      </w:r>
      <w:r w:rsidRPr="006568A3">
        <w:rPr>
          <w:rFonts w:eastAsia="SimSun" w:cstheme="minorHAnsi"/>
        </w:rPr>
        <w:t xml:space="preserve"> de </w:t>
      </w:r>
      <w:r w:rsidR="00D60102">
        <w:rPr>
          <w:rFonts w:eastAsia="SimSun" w:cstheme="minorHAnsi"/>
        </w:rPr>
        <w:t>Educação, Formação e Emprego</w:t>
      </w:r>
      <w:r w:rsidRPr="006568A3">
        <w:rPr>
          <w:rFonts w:eastAsia="SimSun" w:cstheme="minorHAnsi"/>
        </w:rPr>
        <w:t>, Direcção Geral d</w:t>
      </w:r>
      <w:r w:rsidR="00D60102">
        <w:rPr>
          <w:rFonts w:eastAsia="SimSun" w:cstheme="minorHAnsi"/>
        </w:rPr>
        <w:t>o Trabalho e do</w:t>
      </w:r>
      <w:r w:rsidRPr="006568A3">
        <w:rPr>
          <w:rFonts w:eastAsia="SimSun" w:cstheme="minorHAnsi"/>
        </w:rPr>
        <w:t xml:space="preserve"> Emprego (DG</w:t>
      </w:r>
      <w:r w:rsidR="00D60102">
        <w:rPr>
          <w:rFonts w:eastAsia="SimSun" w:cstheme="minorHAnsi"/>
        </w:rPr>
        <w:t>T</w:t>
      </w:r>
      <w:r w:rsidRPr="006568A3">
        <w:rPr>
          <w:rFonts w:eastAsia="SimSun" w:cstheme="minorHAnsi"/>
        </w:rPr>
        <w:t>E) e Direcção Geral da Solidariedade Social (DGSS)</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da Saúde;</w:t>
      </w:r>
    </w:p>
    <w:p w:rsidR="00095D7E" w:rsidRPr="00C90523" w:rsidRDefault="006568A3" w:rsidP="00095D7E">
      <w:pPr>
        <w:pStyle w:val="PargrafodaLista"/>
        <w:numPr>
          <w:ilvl w:val="0"/>
          <w:numId w:val="13"/>
        </w:numPr>
        <w:spacing w:after="0"/>
        <w:ind w:left="709" w:hanging="425"/>
        <w:contextualSpacing w:val="0"/>
        <w:jc w:val="both"/>
        <w:rPr>
          <w:rFonts w:eastAsia="SimSun" w:cstheme="minorHAnsi"/>
        </w:rPr>
      </w:pPr>
      <w:r w:rsidRPr="006568A3">
        <w:rPr>
          <w:rFonts w:eastAsia="SimSun" w:cstheme="minorHAnsi"/>
        </w:rPr>
        <w:t>Ministério do Turismo, Investimentos e Desenvolvimento Empresarial (MTIDE);</w:t>
      </w:r>
    </w:p>
    <w:p w:rsidR="00095D7E" w:rsidRPr="00C90523" w:rsidRDefault="006568A3" w:rsidP="00095D7E">
      <w:pPr>
        <w:pStyle w:val="PargrafodaLista"/>
        <w:numPr>
          <w:ilvl w:val="0"/>
          <w:numId w:val="13"/>
        </w:numPr>
        <w:spacing w:after="0"/>
        <w:ind w:left="709" w:hanging="425"/>
        <w:contextualSpacing w:val="0"/>
        <w:jc w:val="both"/>
        <w:rPr>
          <w:rFonts w:cstheme="minorHAnsi"/>
        </w:rPr>
      </w:pPr>
      <w:r w:rsidRPr="006568A3">
        <w:rPr>
          <w:rFonts w:cstheme="minorHAnsi"/>
        </w:rPr>
        <w:t>Organizações da sociedade civil promotoras da igualdade de género;</w:t>
      </w:r>
    </w:p>
    <w:p w:rsidR="00095D7E" w:rsidRPr="00C90523" w:rsidRDefault="006568A3" w:rsidP="00095D7E">
      <w:pPr>
        <w:pStyle w:val="PargrafodaLista"/>
        <w:numPr>
          <w:ilvl w:val="0"/>
          <w:numId w:val="13"/>
        </w:numPr>
        <w:spacing w:after="0"/>
        <w:ind w:left="709" w:hanging="425"/>
        <w:contextualSpacing w:val="0"/>
        <w:jc w:val="both"/>
        <w:rPr>
          <w:rFonts w:cstheme="minorHAnsi"/>
        </w:rPr>
      </w:pPr>
      <w:r w:rsidRPr="006568A3">
        <w:rPr>
          <w:rFonts w:cstheme="minorHAnsi"/>
        </w:rPr>
        <w:t xml:space="preserve">Rede de Mulheres Parlamentares (RMP-CV); </w:t>
      </w:r>
    </w:p>
    <w:p w:rsidR="00095D7E" w:rsidRPr="00B40196" w:rsidRDefault="006568A3" w:rsidP="00095D7E">
      <w:pPr>
        <w:pStyle w:val="PargrafodaLista"/>
        <w:numPr>
          <w:ilvl w:val="0"/>
          <w:numId w:val="13"/>
        </w:numPr>
        <w:spacing w:after="0"/>
        <w:ind w:left="709" w:hanging="425"/>
        <w:contextualSpacing w:val="0"/>
        <w:jc w:val="both"/>
        <w:rPr>
          <w:rFonts w:eastAsia="SimSun" w:cstheme="minorHAnsi"/>
        </w:rPr>
      </w:pPr>
      <w:r w:rsidRPr="00B40196">
        <w:rPr>
          <w:rFonts w:eastAsia="SimSun" w:cstheme="minorHAnsi"/>
        </w:rPr>
        <w:t>Secretaria de Estado de Administração Pública (</w:t>
      </w:r>
      <w:r w:rsidR="00B40196" w:rsidRPr="00B40196">
        <w:rPr>
          <w:rFonts w:eastAsia="SimSun" w:cstheme="minorHAnsi"/>
        </w:rPr>
        <w:t>SEAP)</w:t>
      </w:r>
      <w:r w:rsidR="007C5B79" w:rsidRPr="00B40196">
        <w:rPr>
          <w:rFonts w:eastAsia="SimSun" w:cstheme="minorHAnsi"/>
        </w:rPr>
        <w:t>/</w:t>
      </w:r>
      <w:r w:rsidRPr="00B40196">
        <w:rPr>
          <w:rFonts w:eastAsia="SimSun" w:cstheme="minorHAnsi"/>
        </w:rPr>
        <w:t>Direcção Geral da Administração Pública (DGAP);</w:t>
      </w:r>
    </w:p>
    <w:p w:rsidR="00095D7E" w:rsidRPr="00B40196" w:rsidRDefault="006568A3" w:rsidP="00095D7E">
      <w:pPr>
        <w:pStyle w:val="PargrafodaLista"/>
        <w:numPr>
          <w:ilvl w:val="0"/>
          <w:numId w:val="13"/>
        </w:numPr>
        <w:spacing w:after="0"/>
        <w:ind w:left="709" w:hanging="425"/>
        <w:contextualSpacing w:val="0"/>
        <w:jc w:val="both"/>
        <w:rPr>
          <w:rFonts w:cstheme="minorHAnsi"/>
        </w:rPr>
      </w:pPr>
      <w:r w:rsidRPr="00B40196">
        <w:rPr>
          <w:rFonts w:cstheme="minorHAnsi"/>
        </w:rPr>
        <w:t xml:space="preserve">Unidade de implementação do programa POSER; </w:t>
      </w:r>
    </w:p>
    <w:p w:rsidR="00095D7E" w:rsidRPr="00B40196" w:rsidRDefault="006568A3" w:rsidP="00095D7E">
      <w:pPr>
        <w:pStyle w:val="PargrafodaLista"/>
        <w:numPr>
          <w:ilvl w:val="0"/>
          <w:numId w:val="13"/>
        </w:numPr>
        <w:spacing w:after="0"/>
        <w:ind w:left="709" w:hanging="425"/>
        <w:contextualSpacing w:val="0"/>
        <w:jc w:val="both"/>
        <w:rPr>
          <w:rFonts w:cstheme="minorHAnsi"/>
        </w:rPr>
      </w:pPr>
      <w:r w:rsidRPr="00B40196">
        <w:rPr>
          <w:rFonts w:cstheme="minorHAnsi"/>
        </w:rPr>
        <w:t>Unidade de Coordenação da Reforma de Estado (UCRE);</w:t>
      </w:r>
    </w:p>
    <w:p w:rsidR="00E737B6" w:rsidRPr="00C90523" w:rsidRDefault="00E737B6" w:rsidP="00E737B6">
      <w:pPr>
        <w:tabs>
          <w:tab w:val="left" w:pos="567"/>
          <w:tab w:val="left" w:pos="851"/>
        </w:tabs>
        <w:spacing w:after="0"/>
        <w:jc w:val="both"/>
        <w:rPr>
          <w:rFonts w:eastAsia="Times New Roman" w:cs="Times New Roman"/>
          <w:bCs/>
          <w:lang w:eastAsia="fr-CH"/>
        </w:rPr>
      </w:pPr>
    </w:p>
    <w:p w:rsidR="00E737B6" w:rsidRPr="00C90523" w:rsidRDefault="006568A3" w:rsidP="00E737B6">
      <w:pPr>
        <w:tabs>
          <w:tab w:val="left" w:pos="567"/>
          <w:tab w:val="left" w:pos="851"/>
        </w:tabs>
        <w:spacing w:after="0"/>
        <w:jc w:val="both"/>
        <w:rPr>
          <w:rFonts w:cstheme="minorHAnsi"/>
        </w:rPr>
      </w:pPr>
      <w:r w:rsidRPr="006568A3">
        <w:rPr>
          <w:rFonts w:eastAsia="Times New Roman" w:cstheme="minorHAnsi"/>
          <w:bCs/>
          <w:lang w:eastAsia="fr-CH"/>
        </w:rPr>
        <w:t xml:space="preserve">A função do Comité é de dar </w:t>
      </w:r>
      <w:r w:rsidRPr="006568A3">
        <w:rPr>
          <w:rFonts w:cstheme="minorHAnsi"/>
        </w:rPr>
        <w:t xml:space="preserve">seguimento </w:t>
      </w:r>
      <w:r w:rsidR="007C5B79">
        <w:rPr>
          <w:rFonts w:cstheme="minorHAnsi"/>
        </w:rPr>
        <w:t>à</w:t>
      </w:r>
      <w:r w:rsidRPr="006568A3">
        <w:rPr>
          <w:rFonts w:cstheme="minorHAnsi"/>
        </w:rPr>
        <w:t xml:space="preserve">s medidas </w:t>
      </w:r>
      <w:r w:rsidR="007C5B79">
        <w:rPr>
          <w:rFonts w:cstheme="minorHAnsi"/>
        </w:rPr>
        <w:t>acordadas</w:t>
      </w:r>
      <w:r w:rsidRPr="006568A3">
        <w:rPr>
          <w:rFonts w:cstheme="minorHAnsi"/>
        </w:rPr>
        <w:t xml:space="preserve"> para a implementação do Plano, monitorizar os avanços nos resultados e promover a igualdade de género através da actuação dos seus membros no sector, facilitando a inclusão </w:t>
      </w:r>
      <w:r w:rsidR="007C5B79">
        <w:rPr>
          <w:rFonts w:cstheme="minorHAnsi"/>
        </w:rPr>
        <w:t>d</w:t>
      </w:r>
      <w:r w:rsidRPr="006568A3">
        <w:rPr>
          <w:rFonts w:cstheme="minorHAnsi"/>
        </w:rPr>
        <w:t>as medidas estratégicas propostas no</w:t>
      </w:r>
      <w:r w:rsidR="007C5B79">
        <w:rPr>
          <w:rFonts w:cstheme="minorHAnsi"/>
        </w:rPr>
        <w:t xml:space="preserve">s </w:t>
      </w:r>
      <w:r w:rsidRPr="006568A3">
        <w:rPr>
          <w:rFonts w:cstheme="minorHAnsi"/>
        </w:rPr>
        <w:t>planos operativos e orçamentos sectoriais.</w:t>
      </w:r>
    </w:p>
    <w:p w:rsidR="00E737B6" w:rsidRPr="00C90523" w:rsidRDefault="00E737B6" w:rsidP="00E737B6">
      <w:pPr>
        <w:tabs>
          <w:tab w:val="left" w:pos="567"/>
          <w:tab w:val="left" w:pos="851"/>
        </w:tabs>
        <w:spacing w:after="0"/>
        <w:jc w:val="both"/>
        <w:rPr>
          <w:rFonts w:cstheme="minorHAnsi"/>
        </w:rPr>
      </w:pPr>
    </w:p>
    <w:p w:rsidR="00E737B6" w:rsidRPr="00C90523" w:rsidRDefault="006568A3" w:rsidP="00E737B6">
      <w:pPr>
        <w:tabs>
          <w:tab w:val="left" w:pos="567"/>
          <w:tab w:val="left" w:pos="851"/>
        </w:tabs>
        <w:spacing w:after="0"/>
        <w:jc w:val="both"/>
        <w:rPr>
          <w:rFonts w:cs="Formata-BoldCondensed"/>
          <w:bCs/>
        </w:rPr>
      </w:pPr>
      <w:r w:rsidRPr="006568A3">
        <w:rPr>
          <w:rFonts w:eastAsia="Times New Roman" w:cs="Times New Roman"/>
          <w:bCs/>
          <w:lang w:eastAsia="fr-CH"/>
        </w:rPr>
        <w:t xml:space="preserve">Nesse sentido, se procederá a </w:t>
      </w:r>
      <w:r w:rsidRPr="006568A3">
        <w:rPr>
          <w:rFonts w:cs="Formata-BoldCondensed"/>
          <w:bCs/>
        </w:rPr>
        <w:t xml:space="preserve">encontros de seguimento semestrais internos, entre os participantes do Comité. Os encontros serão previamente agendados pelo ICIEG e comunicado aos participantes que devem munir-se das informações relevantes sobre a implementação do presente plano para partilhar com o grupo, mediante preenchimento do modelo de relatório semestral incluído no anexo do Plano. Havendo integrantes que não possam comparecer pessoalmente, haverá o compromisso de envio do referido relatório antes do início da reunião. Para cada reunião se elaborará </w:t>
      </w:r>
      <w:r w:rsidR="007C5B79">
        <w:rPr>
          <w:rFonts w:cs="Formata-BoldCondensed"/>
          <w:bCs/>
        </w:rPr>
        <w:t>um</w:t>
      </w:r>
      <w:r w:rsidRPr="006568A3">
        <w:rPr>
          <w:rFonts w:cs="Formata-BoldCondensed"/>
          <w:bCs/>
        </w:rPr>
        <w:t>a acta que deverá ser validada e assinada por todos os presentes e arquivada. As informações serão utilizadas pelo ICIEG para elaborar um relatório anual que servir</w:t>
      </w:r>
      <w:r w:rsidR="007C5B79">
        <w:rPr>
          <w:rFonts w:cs="Formata-BoldCondensed"/>
          <w:bCs/>
        </w:rPr>
        <w:t>á</w:t>
      </w:r>
      <w:r w:rsidRPr="006568A3">
        <w:rPr>
          <w:rFonts w:cs="Formata-BoldCondensed"/>
          <w:bCs/>
        </w:rPr>
        <w:t xml:space="preserve"> como contribuição ao relatório anual do DECRP III e que será partilhado com o Conselho de Ministros.</w:t>
      </w:r>
    </w:p>
    <w:p w:rsidR="00E737B6" w:rsidRPr="00C90523" w:rsidRDefault="00E737B6" w:rsidP="00E737B6">
      <w:pPr>
        <w:tabs>
          <w:tab w:val="left" w:pos="567"/>
          <w:tab w:val="left" w:pos="851"/>
        </w:tabs>
        <w:spacing w:after="0"/>
        <w:jc w:val="both"/>
        <w:rPr>
          <w:rFonts w:cs="Formata-BoldCondensed"/>
          <w:bCs/>
        </w:rPr>
      </w:pPr>
    </w:p>
    <w:p w:rsidR="00E737B6" w:rsidRPr="00C90523" w:rsidRDefault="007C5B79" w:rsidP="00E737B6">
      <w:pPr>
        <w:tabs>
          <w:tab w:val="left" w:pos="567"/>
          <w:tab w:val="left" w:pos="851"/>
        </w:tabs>
        <w:spacing w:after="0"/>
        <w:jc w:val="both"/>
        <w:rPr>
          <w:rFonts w:cs="Formata-BoldCondensed"/>
          <w:bCs/>
        </w:rPr>
      </w:pPr>
      <w:r>
        <w:rPr>
          <w:rFonts w:cs="Formata-BoldCondensed"/>
          <w:bCs/>
        </w:rPr>
        <w:t>Para além disso</w:t>
      </w:r>
      <w:r w:rsidR="006568A3" w:rsidRPr="006568A3">
        <w:rPr>
          <w:rFonts w:cs="Formata-BoldCondensed"/>
          <w:bCs/>
        </w:rPr>
        <w:t xml:space="preserve"> est</w:t>
      </w:r>
      <w:r>
        <w:rPr>
          <w:rFonts w:cs="Formata-BoldCondensed"/>
          <w:bCs/>
        </w:rPr>
        <w:t xml:space="preserve">á </w:t>
      </w:r>
      <w:r w:rsidR="006568A3" w:rsidRPr="006568A3">
        <w:rPr>
          <w:rFonts w:cs="Formata-BoldCondensed"/>
          <w:bCs/>
        </w:rPr>
        <w:t xml:space="preserve">prevista uma revisão a meio percurso e uma avaliação final. A avaliação a meio percurso será realizada em meados do segundo ano de implementação do presente plano, com base nos relatórios semestrais e também por meio de inquéritos e/ou questionários internos a cada sector, bem como externos, junto aos parceiros e às/aos beneficiárias/os através das visitas de seguimento. Por fim, a avaliação final, deve ser externa e realizada com base nos documentos mencionados e de um inquérito quantitativo e qualitativo junto aos parceiros envolvidos na implementação do Plano. A avaliação final será apresentada no Conselho de Ministros e deverá ser disponibilizada </w:t>
      </w:r>
      <w:r>
        <w:rPr>
          <w:rFonts w:cs="Formata-BoldCondensed"/>
          <w:bCs/>
        </w:rPr>
        <w:t>a</w:t>
      </w:r>
      <w:r w:rsidR="006568A3" w:rsidRPr="006568A3">
        <w:rPr>
          <w:rFonts w:cs="Formata-BoldCondensed"/>
          <w:bCs/>
        </w:rPr>
        <w:t xml:space="preserve">os sectores públicos, </w:t>
      </w:r>
      <w:r>
        <w:rPr>
          <w:rFonts w:cs="Formata-BoldCondensed"/>
          <w:bCs/>
        </w:rPr>
        <w:t>à</w:t>
      </w:r>
      <w:r w:rsidR="006568A3" w:rsidRPr="006568A3">
        <w:rPr>
          <w:rFonts w:cs="Formata-BoldCondensed"/>
          <w:bCs/>
        </w:rPr>
        <w:t xml:space="preserve">s organizações da sociedade civil e </w:t>
      </w:r>
      <w:r>
        <w:rPr>
          <w:rFonts w:cs="Formata-BoldCondensed"/>
          <w:bCs/>
        </w:rPr>
        <w:t>a</w:t>
      </w:r>
      <w:r w:rsidR="006568A3" w:rsidRPr="006568A3">
        <w:rPr>
          <w:rFonts w:cs="Formata-BoldCondensed"/>
          <w:bCs/>
        </w:rPr>
        <w:t xml:space="preserve">os meios de comunicação social. </w:t>
      </w:r>
    </w:p>
    <w:p w:rsidR="00E737B6" w:rsidRPr="00C90523" w:rsidRDefault="00E737B6" w:rsidP="00E737B6">
      <w:pPr>
        <w:tabs>
          <w:tab w:val="left" w:pos="567"/>
          <w:tab w:val="left" w:pos="851"/>
        </w:tabs>
        <w:spacing w:after="0"/>
        <w:jc w:val="both"/>
        <w:rPr>
          <w:rFonts w:cs="Formata-BoldCondensed"/>
          <w:bCs/>
        </w:rPr>
      </w:pPr>
    </w:p>
    <w:p w:rsidR="005202AB" w:rsidRPr="00C90523" w:rsidRDefault="006568A3" w:rsidP="005202AB">
      <w:pPr>
        <w:tabs>
          <w:tab w:val="left" w:pos="567"/>
          <w:tab w:val="left" w:pos="851"/>
        </w:tabs>
        <w:spacing w:after="0"/>
        <w:jc w:val="both"/>
        <w:rPr>
          <w:rFonts w:cs="Formata-BoldCondensed"/>
          <w:bCs/>
        </w:rPr>
      </w:pPr>
      <w:r w:rsidRPr="006568A3">
        <w:rPr>
          <w:rFonts w:cs="Formata-BoldCondensed"/>
          <w:bCs/>
        </w:rPr>
        <w:t>A continuação se apresentam as matrizes de seguimento e avaliação incluindo os resultados</w:t>
      </w:r>
      <w:r w:rsidR="007C5B79">
        <w:rPr>
          <w:rFonts w:cs="Formata-BoldCondensed"/>
          <w:bCs/>
        </w:rPr>
        <w:t xml:space="preserve"> e</w:t>
      </w:r>
      <w:r w:rsidRPr="006568A3">
        <w:rPr>
          <w:rFonts w:cs="Formata-BoldCondensed"/>
          <w:bCs/>
        </w:rPr>
        <w:t xml:space="preserve"> indicadores, </w:t>
      </w:r>
      <w:r w:rsidR="007C5B79">
        <w:rPr>
          <w:rFonts w:cs="Formata-BoldCondensed"/>
          <w:bCs/>
        </w:rPr>
        <w:t>bem como</w:t>
      </w:r>
      <w:r w:rsidRPr="006568A3">
        <w:rPr>
          <w:rFonts w:cs="Formata-BoldCondensed"/>
          <w:bCs/>
        </w:rPr>
        <w:t xml:space="preserve"> </w:t>
      </w:r>
      <w:r w:rsidR="007C5B79">
        <w:rPr>
          <w:rFonts w:cs="Formata-BoldCondensed"/>
          <w:bCs/>
        </w:rPr>
        <w:t>as respectivas</w:t>
      </w:r>
      <w:r w:rsidRPr="006568A3">
        <w:rPr>
          <w:rFonts w:cs="Formata-BoldCondensed"/>
          <w:bCs/>
        </w:rPr>
        <w:t xml:space="preserve"> linhas base efontes de verificação para a recolha de dados.</w:t>
      </w:r>
    </w:p>
    <w:p w:rsidR="00E737B6" w:rsidRPr="00C90523" w:rsidRDefault="00E737B6" w:rsidP="005202AB">
      <w:pPr>
        <w:tabs>
          <w:tab w:val="left" w:pos="567"/>
          <w:tab w:val="left" w:pos="851"/>
        </w:tabs>
        <w:spacing w:after="0"/>
        <w:jc w:val="both"/>
        <w:rPr>
          <w:rFonts w:cs="Formata-BoldCondensed"/>
          <w:bCs/>
        </w:rPr>
      </w:pPr>
    </w:p>
    <w:p w:rsidR="00234E79" w:rsidRPr="00C90523" w:rsidRDefault="00234E79" w:rsidP="005202AB">
      <w:pPr>
        <w:tabs>
          <w:tab w:val="left" w:pos="567"/>
          <w:tab w:val="left" w:pos="851"/>
        </w:tabs>
        <w:spacing w:after="0"/>
        <w:jc w:val="both"/>
        <w:rPr>
          <w:rFonts w:cs="Formata-BoldCondensed"/>
          <w:bCs/>
        </w:rPr>
      </w:pPr>
    </w:p>
    <w:p w:rsidR="00234E79" w:rsidRPr="00C90523" w:rsidRDefault="00234E79" w:rsidP="005202AB">
      <w:pPr>
        <w:tabs>
          <w:tab w:val="left" w:pos="567"/>
          <w:tab w:val="left" w:pos="851"/>
        </w:tabs>
        <w:spacing w:after="0"/>
        <w:jc w:val="both"/>
        <w:rPr>
          <w:rFonts w:cs="Formata-BoldCondensed"/>
          <w:bCs/>
        </w:rPr>
        <w:sectPr w:rsidR="00234E79" w:rsidRPr="00C90523" w:rsidSect="00E737B6">
          <w:footerReference w:type="first" r:id="rId40"/>
          <w:pgSz w:w="11906" w:h="17338"/>
          <w:pgMar w:top="1417" w:right="1701" w:bottom="1417" w:left="1701" w:header="720" w:footer="720" w:gutter="0"/>
          <w:cols w:space="720"/>
          <w:noEndnote/>
          <w:docGrid w:linePitch="299"/>
        </w:sectPr>
      </w:pPr>
    </w:p>
    <w:p w:rsidR="00234E79" w:rsidRPr="00C90523" w:rsidRDefault="006568A3" w:rsidP="000F1F33">
      <w:pPr>
        <w:pStyle w:val="Cabealho2"/>
      </w:pPr>
      <w:bookmarkStart w:id="92" w:name="_Toc406667308"/>
      <w:r w:rsidRPr="006568A3">
        <w:t>4.1. Matriz de seguimento e avaliação dos Impactos</w:t>
      </w:r>
      <w:bookmarkEnd w:id="92"/>
    </w:p>
    <w:p w:rsidR="00234E79" w:rsidRPr="00C90523" w:rsidRDefault="00234E79" w:rsidP="00234E79">
      <w:pPr>
        <w:spacing w:after="0"/>
      </w:pPr>
    </w:p>
    <w:tbl>
      <w:tblPr>
        <w:tblW w:w="16217" w:type="dxa"/>
        <w:tblInd w:w="-356" w:type="dxa"/>
        <w:tblCellMar>
          <w:left w:w="70" w:type="dxa"/>
          <w:right w:w="70" w:type="dxa"/>
        </w:tblCellMar>
        <w:tblLook w:val="04A0" w:firstRow="1" w:lastRow="0" w:firstColumn="1" w:lastColumn="0" w:noHBand="0" w:noVBand="1"/>
      </w:tblPr>
      <w:tblGrid>
        <w:gridCol w:w="1409"/>
        <w:gridCol w:w="2998"/>
        <w:gridCol w:w="454"/>
        <w:gridCol w:w="3248"/>
        <w:gridCol w:w="4224"/>
        <w:gridCol w:w="794"/>
        <w:gridCol w:w="3090"/>
      </w:tblGrid>
      <w:tr w:rsidR="00234E79" w:rsidRPr="00C90523" w:rsidTr="00F76FD3">
        <w:trPr>
          <w:trHeight w:val="300"/>
          <w:tblHeader/>
        </w:trPr>
        <w:tc>
          <w:tcPr>
            <w:tcW w:w="1409" w:type="dxa"/>
            <w:tcBorders>
              <w:top w:val="single" w:sz="8" w:space="0" w:color="auto"/>
              <w:left w:val="single" w:sz="8" w:space="0" w:color="auto"/>
              <w:bottom w:val="nil"/>
              <w:right w:val="single" w:sz="8" w:space="0" w:color="auto"/>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Eixo</w:t>
            </w:r>
          </w:p>
        </w:tc>
        <w:tc>
          <w:tcPr>
            <w:tcW w:w="2998" w:type="dxa"/>
            <w:tcBorders>
              <w:top w:val="single" w:sz="8" w:space="0" w:color="auto"/>
              <w:left w:val="nil"/>
              <w:bottom w:val="nil"/>
              <w:right w:val="single" w:sz="8" w:space="0" w:color="auto"/>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Objectivos Específicos</w:t>
            </w:r>
          </w:p>
        </w:tc>
        <w:tc>
          <w:tcPr>
            <w:tcW w:w="454" w:type="dxa"/>
            <w:tcBorders>
              <w:top w:val="nil"/>
              <w:left w:val="nil"/>
              <w:bottom w:val="nil"/>
              <w:right w:val="nil"/>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w:t>
            </w:r>
          </w:p>
        </w:tc>
        <w:tc>
          <w:tcPr>
            <w:tcW w:w="3248" w:type="dxa"/>
            <w:tcBorders>
              <w:top w:val="single" w:sz="8" w:space="0" w:color="4F81BD"/>
              <w:left w:val="nil"/>
              <w:bottom w:val="nil"/>
              <w:right w:val="nil"/>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Indicadores</w:t>
            </w:r>
          </w:p>
        </w:tc>
        <w:tc>
          <w:tcPr>
            <w:tcW w:w="4224" w:type="dxa"/>
            <w:tcBorders>
              <w:top w:val="single" w:sz="8" w:space="0" w:color="4F81BD"/>
              <w:left w:val="nil"/>
              <w:bottom w:val="nil"/>
              <w:right w:val="nil"/>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Linha base</w:t>
            </w:r>
          </w:p>
        </w:tc>
        <w:tc>
          <w:tcPr>
            <w:tcW w:w="794" w:type="dxa"/>
            <w:tcBorders>
              <w:top w:val="single" w:sz="8" w:space="0" w:color="4F81BD"/>
              <w:left w:val="nil"/>
              <w:bottom w:val="nil"/>
              <w:right w:val="nil"/>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Ano</w:t>
            </w:r>
          </w:p>
        </w:tc>
        <w:tc>
          <w:tcPr>
            <w:tcW w:w="3090" w:type="dxa"/>
            <w:tcBorders>
              <w:top w:val="single" w:sz="8" w:space="0" w:color="4F81BD"/>
              <w:left w:val="nil"/>
              <w:bottom w:val="nil"/>
              <w:right w:val="single" w:sz="8" w:space="0" w:color="4F81BD"/>
            </w:tcBorders>
            <w:shd w:val="clear" w:color="000000" w:fill="4F81BD"/>
            <w:hideMark/>
          </w:tcPr>
          <w:p w:rsidR="00234E79" w:rsidRPr="00C90523" w:rsidRDefault="006568A3" w:rsidP="00234E79">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Fonte</w:t>
            </w:r>
          </w:p>
        </w:tc>
      </w:tr>
      <w:tr w:rsidR="00234E79" w:rsidRPr="00C90523" w:rsidTr="00F76FD3">
        <w:trPr>
          <w:trHeight w:val="765"/>
        </w:trPr>
        <w:tc>
          <w:tcPr>
            <w:tcW w:w="1409"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234E79" w:rsidRPr="00C90523" w:rsidRDefault="006568A3" w:rsidP="00234E79">
            <w:pPr>
              <w:spacing w:after="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Saúde</w:t>
            </w:r>
          </w:p>
        </w:tc>
        <w:tc>
          <w:tcPr>
            <w:tcW w:w="2998"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234E79"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Promover o aumento de uma procura equilibrada dos serviços de saúde com uma oferta de qualidade e atendimento diferenciado e que respeite a dignidade humana</w:t>
            </w:r>
          </w:p>
        </w:tc>
        <w:tc>
          <w:tcPr>
            <w:tcW w:w="454" w:type="dxa"/>
            <w:tcBorders>
              <w:top w:val="nil"/>
              <w:left w:val="nil"/>
              <w:bottom w:val="single" w:sz="4" w:space="0" w:color="auto"/>
              <w:right w:val="nil"/>
            </w:tcBorders>
            <w:shd w:val="clear" w:color="auto" w:fill="DBE5F1" w:themeFill="accent1" w:themeFillTint="33"/>
            <w:hideMark/>
          </w:tcPr>
          <w:p w:rsidR="00234E79"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1a</w:t>
            </w:r>
          </w:p>
        </w:tc>
        <w:tc>
          <w:tcPr>
            <w:tcW w:w="3248" w:type="dxa"/>
            <w:tcBorders>
              <w:top w:val="nil"/>
              <w:left w:val="nil"/>
              <w:bottom w:val="single" w:sz="4" w:space="0" w:color="auto"/>
              <w:right w:val="single" w:sz="4" w:space="0" w:color="auto"/>
            </w:tcBorders>
            <w:shd w:val="clear" w:color="auto" w:fill="DBE5F1" w:themeFill="accent1" w:themeFillTint="33"/>
            <w:hideMark/>
          </w:tcPr>
          <w:p w:rsidR="00234E79"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Percentagem de Mulheres (idade) com rastreio anual cancro (mama, colo útero)</w:t>
            </w:r>
          </w:p>
        </w:tc>
        <w:tc>
          <w:tcPr>
            <w:tcW w:w="4224" w:type="dxa"/>
            <w:tcBorders>
              <w:top w:val="nil"/>
              <w:left w:val="nil"/>
              <w:bottom w:val="single" w:sz="4" w:space="0" w:color="auto"/>
              <w:right w:val="single" w:sz="4" w:space="0" w:color="auto"/>
            </w:tcBorders>
            <w:shd w:val="clear" w:color="auto" w:fill="DBE5F1" w:themeFill="accent1" w:themeFillTint="33"/>
            <w:noWrap/>
            <w:hideMark/>
          </w:tcPr>
          <w:p w:rsidR="00234E79"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ND</w:t>
            </w:r>
          </w:p>
        </w:tc>
        <w:tc>
          <w:tcPr>
            <w:tcW w:w="794" w:type="dxa"/>
            <w:tcBorders>
              <w:top w:val="nil"/>
              <w:left w:val="nil"/>
              <w:bottom w:val="single" w:sz="4" w:space="0" w:color="auto"/>
              <w:right w:val="single" w:sz="4" w:space="0" w:color="auto"/>
            </w:tcBorders>
            <w:shd w:val="clear" w:color="auto" w:fill="DBE5F1" w:themeFill="accent1" w:themeFillTint="33"/>
            <w:noWrap/>
            <w:vAlign w:val="bottom"/>
            <w:hideMark/>
          </w:tcPr>
          <w:p w:rsidR="00234E79"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w:t>
            </w:r>
          </w:p>
        </w:tc>
        <w:tc>
          <w:tcPr>
            <w:tcW w:w="3090" w:type="dxa"/>
            <w:tcBorders>
              <w:top w:val="nil"/>
              <w:left w:val="nil"/>
              <w:bottom w:val="single" w:sz="4" w:space="0" w:color="auto"/>
              <w:right w:val="single" w:sz="4" w:space="0" w:color="auto"/>
            </w:tcBorders>
            <w:shd w:val="clear" w:color="auto" w:fill="DBE5F1" w:themeFill="accent1" w:themeFillTint="33"/>
            <w:vAlign w:val="center"/>
            <w:hideMark/>
          </w:tcPr>
          <w:p w:rsidR="00234E79"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PNDS - Relatório MS</w:t>
            </w:r>
          </w:p>
        </w:tc>
      </w:tr>
      <w:tr w:rsidR="00D075EF" w:rsidRPr="00C90523" w:rsidTr="00F76FD3">
        <w:trPr>
          <w:trHeight w:val="765"/>
        </w:trPr>
        <w:tc>
          <w:tcPr>
            <w:tcW w:w="1409"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nil"/>
              <w:left w:val="nil"/>
              <w:bottom w:val="single" w:sz="4" w:space="0" w:color="auto"/>
              <w:right w:val="nil"/>
            </w:tcBorders>
            <w:shd w:val="clear" w:color="auto" w:fill="DBE5F1" w:themeFill="accent1" w:themeFillTint="33"/>
            <w:hideMark/>
          </w:tcPr>
          <w:p w:rsidR="00D075EF" w:rsidRPr="00C90523" w:rsidRDefault="006568A3" w:rsidP="005B6094">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1b</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5B609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Percentagem de homens de 50 e mais anos com rastreio para cancro da próstata</w:t>
            </w:r>
          </w:p>
        </w:tc>
        <w:tc>
          <w:tcPr>
            <w:tcW w:w="4224" w:type="dxa"/>
            <w:tcBorders>
              <w:top w:val="nil"/>
              <w:left w:val="nil"/>
              <w:bottom w:val="single" w:sz="4" w:space="0" w:color="auto"/>
              <w:right w:val="single" w:sz="4" w:space="0" w:color="auto"/>
            </w:tcBorders>
            <w:shd w:val="clear" w:color="auto" w:fill="DBE5F1" w:themeFill="accent1" w:themeFillTint="33"/>
            <w:noWrap/>
            <w:hideMark/>
          </w:tcPr>
          <w:p w:rsidR="00D075EF" w:rsidRPr="00C90523" w:rsidRDefault="006568A3" w:rsidP="005B6094">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ND</w:t>
            </w:r>
          </w:p>
        </w:tc>
        <w:tc>
          <w:tcPr>
            <w:tcW w:w="794" w:type="dxa"/>
            <w:tcBorders>
              <w:top w:val="nil"/>
              <w:left w:val="nil"/>
              <w:bottom w:val="single" w:sz="4" w:space="0" w:color="auto"/>
              <w:right w:val="single" w:sz="4" w:space="0" w:color="auto"/>
            </w:tcBorders>
            <w:shd w:val="clear" w:color="auto" w:fill="DBE5F1" w:themeFill="accent1" w:themeFillTint="33"/>
            <w:noWrap/>
            <w:vAlign w:val="bottom"/>
            <w:hideMark/>
          </w:tcPr>
          <w:p w:rsidR="00D075EF" w:rsidRPr="00C90523" w:rsidRDefault="006568A3" w:rsidP="005B6094">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w:t>
            </w:r>
          </w:p>
        </w:tc>
        <w:tc>
          <w:tcPr>
            <w:tcW w:w="3090"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5B6094">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PNDS - Relatório MS</w:t>
            </w:r>
          </w:p>
        </w:tc>
      </w:tr>
      <w:tr w:rsidR="00D075EF" w:rsidRPr="00C90523" w:rsidTr="00F76FD3">
        <w:trPr>
          <w:trHeight w:val="765"/>
        </w:trPr>
        <w:tc>
          <w:tcPr>
            <w:tcW w:w="1409"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nil"/>
              <w:left w:val="nil"/>
              <w:bottom w:val="single" w:sz="4" w:space="0" w:color="auto"/>
              <w:right w:val="nil"/>
            </w:tcBorders>
            <w:shd w:val="clear" w:color="auto" w:fill="DBE5F1" w:themeFill="accent1" w:themeFillTint="33"/>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1c</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5B6094">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Número de óbitos e taxa de mortalidade (‰ de população) desagregada por sexo, ligada aos programas priorizados  pelo MS (Tumores ou neoplasias, Doenças mentais e de comportamento e Doenças metab/endoc/nutricionais)</w:t>
            </w:r>
          </w:p>
        </w:tc>
        <w:tc>
          <w:tcPr>
            <w:tcW w:w="4224" w:type="dxa"/>
            <w:tcBorders>
              <w:top w:val="nil"/>
              <w:left w:val="nil"/>
              <w:bottom w:val="single" w:sz="4" w:space="0" w:color="auto"/>
              <w:right w:val="single" w:sz="4" w:space="0" w:color="auto"/>
            </w:tcBorders>
            <w:shd w:val="clear" w:color="auto" w:fill="DBE5F1" w:themeFill="accent1" w:themeFillTint="33"/>
            <w:noWrap/>
            <w:hideMark/>
          </w:tcPr>
          <w:p w:rsidR="00D075EF" w:rsidRPr="00C90523" w:rsidRDefault="006568A3" w:rsidP="00D075EF">
            <w:pPr>
              <w:pStyle w:val="PargrafodaLista"/>
              <w:numPr>
                <w:ilvl w:val="0"/>
                <w:numId w:val="31"/>
              </w:numPr>
              <w:spacing w:after="0" w:line="240" w:lineRule="auto"/>
              <w:ind w:left="200" w:hanging="200"/>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Tumores ou neoplasias: T385; M183; H202 (T76,1‰; M71,9‰; H80,4‰)</w:t>
            </w:r>
          </w:p>
          <w:p w:rsidR="00D075EF" w:rsidRPr="00C90523" w:rsidRDefault="006568A3" w:rsidP="00D075EF">
            <w:pPr>
              <w:pStyle w:val="PargrafodaLista"/>
              <w:numPr>
                <w:ilvl w:val="0"/>
                <w:numId w:val="31"/>
              </w:numPr>
              <w:spacing w:after="0" w:line="240" w:lineRule="auto"/>
              <w:ind w:left="200" w:hanging="200"/>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Doenças mentais e de comportamento </w:t>
            </w:r>
          </w:p>
          <w:p w:rsidR="00D075EF" w:rsidRPr="00C90523" w:rsidRDefault="006568A3" w:rsidP="005B6094">
            <w:pPr>
              <w:pStyle w:val="PargrafodaLista"/>
              <w:spacing w:after="0" w:line="240" w:lineRule="auto"/>
              <w:ind w:left="200"/>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T: 86; M14; H86 (T:17‰; M5,5‰; H28,6‰)</w:t>
            </w:r>
          </w:p>
          <w:p w:rsidR="00D075EF" w:rsidRPr="00C90523" w:rsidRDefault="006568A3" w:rsidP="00D075EF">
            <w:pPr>
              <w:pStyle w:val="PargrafodaLista"/>
              <w:numPr>
                <w:ilvl w:val="0"/>
                <w:numId w:val="31"/>
              </w:numPr>
              <w:spacing w:after="0" w:line="240" w:lineRule="auto"/>
              <w:ind w:left="200" w:hanging="200"/>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Doenças metab/endoc/nutricionais</w:t>
            </w:r>
          </w:p>
          <w:p w:rsidR="00D075EF" w:rsidRPr="00C90523" w:rsidRDefault="006568A3" w:rsidP="005B6094">
            <w:pPr>
              <w:pStyle w:val="PargrafodaLista"/>
              <w:spacing w:after="0" w:line="240" w:lineRule="auto"/>
              <w:ind w:left="200"/>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T: 88; M51; H37 (T:17,4‰; M20‰; H14.7‰)</w:t>
            </w:r>
          </w:p>
        </w:tc>
        <w:tc>
          <w:tcPr>
            <w:tcW w:w="794" w:type="dxa"/>
            <w:tcBorders>
              <w:top w:val="nil"/>
              <w:left w:val="nil"/>
              <w:bottom w:val="single" w:sz="4" w:space="0" w:color="auto"/>
              <w:right w:val="single" w:sz="4" w:space="0" w:color="auto"/>
            </w:tcBorders>
            <w:shd w:val="clear" w:color="auto" w:fill="DBE5F1" w:themeFill="accent1" w:themeFillTint="33"/>
            <w:noWrap/>
            <w:vAlign w:val="center"/>
            <w:hideMark/>
          </w:tcPr>
          <w:p w:rsidR="00D075EF" w:rsidRPr="00C90523" w:rsidRDefault="006568A3" w:rsidP="005B6094">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2012-</w:t>
            </w:r>
          </w:p>
        </w:tc>
        <w:tc>
          <w:tcPr>
            <w:tcW w:w="3090"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5B6094">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MS, Relatório Estatístico</w:t>
            </w:r>
          </w:p>
        </w:tc>
      </w:tr>
      <w:tr w:rsidR="00D075EF" w:rsidRPr="00C90523" w:rsidTr="00F76FD3">
        <w:trPr>
          <w:trHeight w:val="1112"/>
        </w:trPr>
        <w:tc>
          <w:tcPr>
            <w:tcW w:w="1409" w:type="dxa"/>
            <w:vMerge w:val="restart"/>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Direitos sexuais e reprodutivos</w:t>
            </w:r>
          </w:p>
        </w:tc>
        <w:tc>
          <w:tcPr>
            <w:tcW w:w="2998" w:type="dxa"/>
            <w:vMerge w:val="restart"/>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Promover as condições para que as pessoas (homens, mulheres, adolescentes e jovens) realizem mais plenamente seus direitos sexuais e reprodutivos e tenham maior acesso aos serviços de SSR de qualidade e que respeitam a especificidade de cada pessoa</w:t>
            </w:r>
          </w:p>
        </w:tc>
        <w:tc>
          <w:tcPr>
            <w:tcW w:w="454" w:type="dxa"/>
            <w:tcBorders>
              <w:top w:val="nil"/>
              <w:left w:val="nil"/>
              <w:bottom w:val="single" w:sz="4" w:space="0" w:color="auto"/>
              <w:right w:val="nil"/>
            </w:tcBorders>
            <w:shd w:val="clear" w:color="auto" w:fill="B8CCE4" w:themeFill="accent1" w:themeFillTint="66"/>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2a</w:t>
            </w:r>
          </w:p>
        </w:tc>
        <w:tc>
          <w:tcPr>
            <w:tcW w:w="3248"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Grávidas adolescentes (entre as grávidas atendidas na consulta pré-natal) - </w:t>
            </w:r>
            <w:r w:rsidRPr="006568A3">
              <w:rPr>
                <w:rFonts w:ascii="Calibri" w:eastAsia="Times New Roman" w:hAnsi="Calibri" w:cs="Times New Roman"/>
                <w:color w:val="000000"/>
                <w:sz w:val="20"/>
                <w:szCs w:val="20"/>
                <w:lang w:eastAsia="es-ES"/>
              </w:rPr>
              <w:br/>
              <w:t>• Grávidas com &lt;17 anos (%)</w:t>
            </w:r>
            <w:r w:rsidRPr="006568A3">
              <w:rPr>
                <w:rFonts w:ascii="Calibri" w:eastAsia="Times New Roman" w:hAnsi="Calibri" w:cs="Times New Roman"/>
                <w:color w:val="000000"/>
                <w:sz w:val="20"/>
                <w:szCs w:val="20"/>
                <w:lang w:eastAsia="es-ES"/>
              </w:rPr>
              <w:br/>
              <w:t>• Grávidas entre 17 e 19 anos (%)</w:t>
            </w:r>
          </w:p>
        </w:tc>
        <w:tc>
          <w:tcPr>
            <w:tcW w:w="4224"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Grávidas com &lt;17 anos (%): 4,7</w:t>
            </w:r>
            <w:r w:rsidRPr="006568A3">
              <w:rPr>
                <w:rFonts w:ascii="Calibri" w:eastAsia="Times New Roman" w:hAnsi="Calibri" w:cs="Times New Roman"/>
                <w:color w:val="000000"/>
                <w:sz w:val="20"/>
                <w:szCs w:val="20"/>
                <w:lang w:eastAsia="es-ES"/>
              </w:rPr>
              <w:br/>
              <w:t>• Grávidas entre 17 e 19 anos (%): 15,3</w:t>
            </w:r>
          </w:p>
        </w:tc>
        <w:tc>
          <w:tcPr>
            <w:tcW w:w="794"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2012</w:t>
            </w:r>
          </w:p>
        </w:tc>
        <w:tc>
          <w:tcPr>
            <w:tcW w:w="3090"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Observatório de Igualdade de Género</w:t>
            </w:r>
            <w:r w:rsidRPr="006568A3">
              <w:rPr>
                <w:rFonts w:ascii="Calibri" w:eastAsia="Times New Roman" w:hAnsi="Calibri" w:cs="Times New Roman"/>
                <w:color w:val="000000"/>
                <w:sz w:val="20"/>
                <w:szCs w:val="20"/>
                <w:lang w:eastAsia="es-ES"/>
              </w:rPr>
              <w:br/>
              <w:t>Relatório Estatístico do MS</w:t>
            </w:r>
          </w:p>
        </w:tc>
      </w:tr>
      <w:tr w:rsidR="00D075EF" w:rsidRPr="00C90523" w:rsidTr="00F76FD3">
        <w:trPr>
          <w:trHeight w:val="946"/>
        </w:trPr>
        <w:tc>
          <w:tcPr>
            <w:tcW w:w="1409"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nil"/>
              <w:left w:val="nil"/>
              <w:bottom w:val="single" w:sz="4" w:space="0" w:color="auto"/>
              <w:right w:val="nil"/>
            </w:tcBorders>
            <w:shd w:val="clear" w:color="auto" w:fill="B8CCE4" w:themeFill="accent1" w:themeFillTint="66"/>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2b</w:t>
            </w:r>
          </w:p>
        </w:tc>
        <w:tc>
          <w:tcPr>
            <w:tcW w:w="3248"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Taxa de prevalência do VIH/SIDA (entre as grávidas)</w:t>
            </w:r>
            <w:r w:rsidRPr="006568A3">
              <w:rPr>
                <w:rFonts w:ascii="Calibri" w:eastAsia="Times New Roman" w:hAnsi="Calibri" w:cs="Times New Roman"/>
                <w:color w:val="000000"/>
                <w:sz w:val="20"/>
                <w:szCs w:val="20"/>
                <w:lang w:eastAsia="es-ES"/>
              </w:rPr>
              <w:br/>
              <w:t>• 15-24 anos</w:t>
            </w:r>
            <w:r w:rsidRPr="006568A3">
              <w:rPr>
                <w:rFonts w:ascii="Calibri" w:eastAsia="Times New Roman" w:hAnsi="Calibri" w:cs="Times New Roman"/>
                <w:color w:val="000000"/>
                <w:sz w:val="20"/>
                <w:szCs w:val="20"/>
                <w:lang w:eastAsia="es-ES"/>
              </w:rPr>
              <w:br/>
              <w:t>• 15-49 anos</w:t>
            </w:r>
          </w:p>
        </w:tc>
        <w:tc>
          <w:tcPr>
            <w:tcW w:w="4224"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15-24 anos: 0,96</w:t>
            </w:r>
            <w:r w:rsidRPr="006568A3">
              <w:rPr>
                <w:rFonts w:ascii="Calibri" w:eastAsia="Times New Roman" w:hAnsi="Calibri" w:cs="Times New Roman"/>
                <w:color w:val="000000"/>
                <w:sz w:val="20"/>
                <w:szCs w:val="20"/>
                <w:lang w:eastAsia="es-ES"/>
              </w:rPr>
              <w:br/>
              <w:t>• 15-49 anos: 1</w:t>
            </w:r>
          </w:p>
        </w:tc>
        <w:tc>
          <w:tcPr>
            <w:tcW w:w="794"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2013</w:t>
            </w:r>
          </w:p>
        </w:tc>
        <w:tc>
          <w:tcPr>
            <w:tcW w:w="3090"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Observatório de Igualdade de Género</w:t>
            </w:r>
            <w:r w:rsidRPr="006568A3">
              <w:rPr>
                <w:rFonts w:ascii="Calibri" w:eastAsia="Times New Roman" w:hAnsi="Calibri" w:cs="Times New Roman"/>
                <w:color w:val="000000"/>
                <w:sz w:val="20"/>
                <w:szCs w:val="20"/>
                <w:lang w:eastAsia="es-ES"/>
              </w:rPr>
              <w:br/>
              <w:t>Relatório Estatístico do MS</w:t>
            </w:r>
          </w:p>
        </w:tc>
      </w:tr>
      <w:tr w:rsidR="00D075EF" w:rsidRPr="00C90523" w:rsidTr="00F76FD3">
        <w:trPr>
          <w:trHeight w:val="1485"/>
        </w:trPr>
        <w:tc>
          <w:tcPr>
            <w:tcW w:w="1409"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6568A3" w:rsidP="00234E79">
            <w:pPr>
              <w:spacing w:after="24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 xml:space="preserve">Educação e formação profissional </w:t>
            </w:r>
          </w:p>
        </w:tc>
        <w:tc>
          <w:tcPr>
            <w:tcW w:w="2998"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Promover a permanência e sucesso de rapazes e raparigas nos vários níveis de ensino e o acesso a uma educação de qualidade promotora da igualdade de género  </w:t>
            </w:r>
          </w:p>
        </w:tc>
        <w:tc>
          <w:tcPr>
            <w:tcW w:w="454" w:type="dxa"/>
            <w:tcBorders>
              <w:top w:val="nil"/>
              <w:left w:val="nil"/>
              <w:bottom w:val="single" w:sz="4" w:space="0" w:color="auto"/>
              <w:right w:val="nil"/>
            </w:tcBorders>
            <w:shd w:val="clear" w:color="auto" w:fill="DBE5F1" w:themeFill="accent1" w:themeFillTint="33"/>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3a</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Taxa de diplomados por nível de ensino</w:t>
            </w:r>
            <w:r w:rsidRPr="006568A3">
              <w:rPr>
                <w:rFonts w:ascii="Calibri" w:eastAsia="Times New Roman" w:hAnsi="Calibri" w:cs="Times New Roman"/>
                <w:color w:val="000000"/>
                <w:sz w:val="20"/>
                <w:szCs w:val="20"/>
                <w:lang w:eastAsia="es-ES"/>
              </w:rPr>
              <w:br/>
              <w:t>• Ensino básico</w:t>
            </w:r>
            <w:r w:rsidRPr="006568A3">
              <w:rPr>
                <w:rFonts w:ascii="Calibri" w:eastAsia="Times New Roman" w:hAnsi="Calibri" w:cs="Times New Roman"/>
                <w:color w:val="000000"/>
                <w:sz w:val="20"/>
                <w:szCs w:val="20"/>
                <w:lang w:eastAsia="es-ES"/>
              </w:rPr>
              <w:br/>
              <w:t>• Ensino secundário</w:t>
            </w:r>
            <w:r w:rsidRPr="006568A3">
              <w:rPr>
                <w:rFonts w:ascii="Calibri" w:eastAsia="Times New Roman" w:hAnsi="Calibri" w:cs="Times New Roman"/>
                <w:color w:val="000000"/>
                <w:sz w:val="20"/>
                <w:szCs w:val="20"/>
                <w:lang w:eastAsia="es-ES"/>
              </w:rPr>
              <w:br/>
              <w:t>• Ensino superior</w:t>
            </w:r>
          </w:p>
        </w:tc>
        <w:tc>
          <w:tcPr>
            <w:tcW w:w="422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b/>
                <w:bCs/>
                <w:color w:val="000000"/>
                <w:sz w:val="20"/>
                <w:szCs w:val="20"/>
                <w:lang w:eastAsia="es-ES"/>
              </w:rPr>
              <w:t>Ensino básico</w:t>
            </w:r>
            <w:r w:rsidRPr="006568A3">
              <w:rPr>
                <w:rFonts w:ascii="Calibri" w:eastAsia="Times New Roman" w:hAnsi="Calibri" w:cs="Times New Roman"/>
                <w:color w:val="000000"/>
                <w:sz w:val="20"/>
                <w:szCs w:val="20"/>
                <w:lang w:eastAsia="es-ES"/>
              </w:rPr>
              <w:t xml:space="preserve"> (89,2% -  91,9 raparigas e 86,7 rapazes)</w:t>
            </w:r>
            <w:r w:rsidRPr="006568A3">
              <w:rPr>
                <w:rFonts w:ascii="Calibri" w:eastAsia="Times New Roman" w:hAnsi="Calibri" w:cs="Times New Roman"/>
                <w:color w:val="000000"/>
                <w:sz w:val="20"/>
                <w:szCs w:val="20"/>
                <w:lang w:eastAsia="es-ES"/>
              </w:rPr>
              <w:br/>
            </w:r>
            <w:r w:rsidRPr="006568A3">
              <w:rPr>
                <w:rFonts w:ascii="Calibri" w:eastAsia="Times New Roman" w:hAnsi="Calibri" w:cs="Times New Roman"/>
                <w:b/>
                <w:bCs/>
                <w:color w:val="000000"/>
                <w:sz w:val="20"/>
                <w:szCs w:val="20"/>
                <w:lang w:eastAsia="es-ES"/>
              </w:rPr>
              <w:t>Ensino secundário</w:t>
            </w:r>
            <w:r w:rsidRPr="006568A3">
              <w:rPr>
                <w:rFonts w:ascii="Calibri" w:eastAsia="Times New Roman" w:hAnsi="Calibri" w:cs="Times New Roman"/>
                <w:color w:val="000000"/>
                <w:sz w:val="20"/>
                <w:szCs w:val="20"/>
                <w:lang w:eastAsia="es-ES"/>
              </w:rPr>
              <w:t xml:space="preserve"> (61,6% -  65,1 raparigas e 52,4 rapazes)</w:t>
            </w:r>
            <w:r w:rsidRPr="006568A3">
              <w:rPr>
                <w:rFonts w:ascii="Calibri" w:eastAsia="Times New Roman" w:hAnsi="Calibri" w:cs="Times New Roman"/>
                <w:color w:val="000000"/>
                <w:sz w:val="20"/>
                <w:szCs w:val="20"/>
                <w:lang w:eastAsia="es-ES"/>
              </w:rPr>
              <w:br/>
            </w:r>
            <w:r w:rsidRPr="006568A3">
              <w:rPr>
                <w:rFonts w:ascii="Calibri" w:eastAsia="Times New Roman" w:hAnsi="Calibri" w:cs="Times New Roman"/>
                <w:b/>
                <w:bCs/>
                <w:color w:val="000000"/>
                <w:sz w:val="20"/>
                <w:szCs w:val="20"/>
                <w:lang w:eastAsia="es-ES"/>
              </w:rPr>
              <w:t>Ensino superior</w:t>
            </w:r>
            <w:r w:rsidRPr="006568A3">
              <w:rPr>
                <w:rFonts w:ascii="Calibri" w:eastAsia="Times New Roman" w:hAnsi="Calibri" w:cs="Times New Roman"/>
                <w:color w:val="000000"/>
                <w:sz w:val="20"/>
                <w:szCs w:val="20"/>
                <w:lang w:eastAsia="es-ES"/>
              </w:rPr>
              <w:t xml:space="preserve"> (34,8% -  33,6 mulheres e 37,2 homens)</w:t>
            </w:r>
          </w:p>
        </w:tc>
        <w:tc>
          <w:tcPr>
            <w:tcW w:w="794"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2012 (EB&amp;ES) 2010 (E.Sup)</w:t>
            </w:r>
          </w:p>
        </w:tc>
        <w:tc>
          <w:tcPr>
            <w:tcW w:w="3090"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Observatório de Igualdade de Género Relatório Estatístico MED                   Relatório Estatístico MESCI</w:t>
            </w:r>
          </w:p>
        </w:tc>
      </w:tr>
      <w:tr w:rsidR="00D075EF" w:rsidRPr="00C90523" w:rsidTr="00F76FD3">
        <w:trPr>
          <w:trHeight w:val="2215"/>
        </w:trPr>
        <w:tc>
          <w:tcPr>
            <w:tcW w:w="1409"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nil"/>
              <w:left w:val="nil"/>
              <w:bottom w:val="single" w:sz="4" w:space="0" w:color="auto"/>
              <w:right w:val="nil"/>
            </w:tcBorders>
            <w:shd w:val="clear" w:color="auto" w:fill="DBE5F1" w:themeFill="accent1" w:themeFillTint="33"/>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3b</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Percentagem de diplomados do ensino superior nas diferentes áreas:                            • Ciências sociais, humanas, letras e línguas. </w:t>
            </w:r>
            <w:r w:rsidRPr="006568A3">
              <w:rPr>
                <w:rFonts w:ascii="Calibri" w:eastAsia="Times New Roman" w:hAnsi="Calibri" w:cs="Times New Roman"/>
                <w:color w:val="000000"/>
                <w:sz w:val="20"/>
                <w:szCs w:val="20"/>
                <w:lang w:eastAsia="es-ES"/>
              </w:rPr>
              <w:br/>
              <w:t xml:space="preserve">• Ciências exactas, engenharias e tecnologias </w:t>
            </w:r>
            <w:r w:rsidRPr="006568A3">
              <w:rPr>
                <w:rFonts w:ascii="Calibri" w:eastAsia="Times New Roman" w:hAnsi="Calibri" w:cs="Times New Roman"/>
                <w:color w:val="000000"/>
                <w:sz w:val="20"/>
                <w:szCs w:val="20"/>
                <w:lang w:eastAsia="es-ES"/>
              </w:rPr>
              <w:br/>
              <w:t xml:space="preserve">• Ciências da vida, ambiente e saúde </w:t>
            </w:r>
            <w:r w:rsidRPr="006568A3">
              <w:rPr>
                <w:rFonts w:ascii="Calibri" w:eastAsia="Times New Roman" w:hAnsi="Calibri" w:cs="Times New Roman"/>
                <w:color w:val="000000"/>
                <w:sz w:val="20"/>
                <w:szCs w:val="20"/>
                <w:lang w:eastAsia="es-ES"/>
              </w:rPr>
              <w:br/>
              <w:t xml:space="preserve">• Ciências económicas, jurídicas e políticas </w:t>
            </w:r>
          </w:p>
        </w:tc>
        <w:tc>
          <w:tcPr>
            <w:tcW w:w="422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b/>
                <w:bCs/>
                <w:color w:val="000000"/>
                <w:sz w:val="20"/>
                <w:szCs w:val="20"/>
                <w:lang w:eastAsia="es-ES"/>
              </w:rPr>
              <w:t>Ciências sociais, humanas, letras e línguas</w:t>
            </w:r>
            <w:r w:rsidRPr="006568A3">
              <w:rPr>
                <w:rFonts w:ascii="Calibri" w:eastAsia="Times New Roman" w:hAnsi="Calibri" w:cs="Times New Roman"/>
                <w:color w:val="000000"/>
                <w:sz w:val="20"/>
                <w:szCs w:val="20"/>
                <w:lang w:eastAsia="es-ES"/>
              </w:rPr>
              <w:t xml:space="preserve"> (T 55,0%; M 61,1%; H 44,8%)                                                   </w:t>
            </w:r>
            <w:r w:rsidRPr="006568A3">
              <w:rPr>
                <w:rFonts w:ascii="Calibri" w:eastAsia="Times New Roman" w:hAnsi="Calibri" w:cs="Times New Roman"/>
                <w:b/>
                <w:bCs/>
                <w:color w:val="000000"/>
                <w:sz w:val="20"/>
                <w:szCs w:val="20"/>
                <w:lang w:eastAsia="es-ES"/>
              </w:rPr>
              <w:t>Ciências exactas, engenharias e tec.</w:t>
            </w:r>
            <w:r w:rsidRPr="006568A3">
              <w:rPr>
                <w:rFonts w:ascii="Calibri" w:eastAsia="Times New Roman" w:hAnsi="Calibri" w:cs="Times New Roman"/>
                <w:color w:val="000000"/>
                <w:sz w:val="20"/>
                <w:szCs w:val="20"/>
                <w:lang w:eastAsia="es-ES"/>
              </w:rPr>
              <w:t xml:space="preserve">(T 16,5%; M 11,4%; H 25%)                                    </w:t>
            </w:r>
            <w:r w:rsidRPr="006568A3">
              <w:rPr>
                <w:rFonts w:ascii="Calibri" w:eastAsia="Times New Roman" w:hAnsi="Calibri" w:cs="Times New Roman"/>
                <w:b/>
                <w:bCs/>
                <w:color w:val="000000"/>
                <w:sz w:val="20"/>
                <w:szCs w:val="20"/>
                <w:lang w:eastAsia="es-ES"/>
              </w:rPr>
              <w:t>Ciências económicas, jurídicas e políticas</w:t>
            </w:r>
            <w:r w:rsidRPr="006568A3">
              <w:rPr>
                <w:rFonts w:ascii="Calibri" w:eastAsia="Times New Roman" w:hAnsi="Calibri" w:cs="Times New Roman"/>
                <w:color w:val="000000"/>
                <w:sz w:val="20"/>
                <w:szCs w:val="20"/>
                <w:lang w:eastAsia="es-ES"/>
              </w:rPr>
              <w:t xml:space="preserve"> (T 28,5%; M 27,5%; H 30,2%)</w:t>
            </w:r>
          </w:p>
        </w:tc>
        <w:tc>
          <w:tcPr>
            <w:tcW w:w="794"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2010</w:t>
            </w:r>
          </w:p>
        </w:tc>
        <w:tc>
          <w:tcPr>
            <w:tcW w:w="3090"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Observatório de Igualdade de Género Relatório Estatístico MESCI</w:t>
            </w:r>
          </w:p>
        </w:tc>
      </w:tr>
      <w:tr w:rsidR="00D075EF" w:rsidRPr="00C90523" w:rsidTr="00F76FD3">
        <w:trPr>
          <w:trHeight w:val="810"/>
        </w:trPr>
        <w:tc>
          <w:tcPr>
            <w:tcW w:w="1409" w:type="dxa"/>
            <w:vMerge w:val="restart"/>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Economia produtiva</w:t>
            </w:r>
          </w:p>
        </w:tc>
        <w:tc>
          <w:tcPr>
            <w:tcW w:w="2998" w:type="dxa"/>
            <w:vMerge w:val="restart"/>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Promover a igualdade no mundo do trabalho e a autonomia económica das mulheres, em particular as mais pobres</w:t>
            </w:r>
          </w:p>
        </w:tc>
        <w:tc>
          <w:tcPr>
            <w:tcW w:w="454" w:type="dxa"/>
            <w:tcBorders>
              <w:top w:val="single" w:sz="4" w:space="0" w:color="auto"/>
              <w:left w:val="nil"/>
              <w:bottom w:val="single" w:sz="4" w:space="0" w:color="auto"/>
              <w:right w:val="nil"/>
            </w:tcBorders>
            <w:shd w:val="clear" w:color="auto" w:fill="B8CCE4" w:themeFill="accent1" w:themeFillTint="66"/>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4a</w:t>
            </w:r>
          </w:p>
        </w:tc>
        <w:tc>
          <w:tcPr>
            <w:tcW w:w="3248" w:type="dxa"/>
            <w:tcBorders>
              <w:top w:val="nil"/>
              <w:left w:val="nil"/>
              <w:bottom w:val="nil"/>
              <w:right w:val="nil"/>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Taxa de desemprego da população de 15 anos e mais por sexo, faixa etária, urbano rural</w:t>
            </w:r>
          </w:p>
        </w:tc>
        <w:tc>
          <w:tcPr>
            <w:tcW w:w="4224" w:type="dxa"/>
            <w:tcBorders>
              <w:top w:val="nil"/>
              <w:left w:val="single" w:sz="4" w:space="0" w:color="auto"/>
              <w:bottom w:val="single" w:sz="4" w:space="0" w:color="auto"/>
              <w:right w:val="single" w:sz="4" w:space="0" w:color="auto"/>
            </w:tcBorders>
            <w:shd w:val="clear" w:color="auto" w:fill="B8CCE4" w:themeFill="accent1" w:themeFillTint="66"/>
            <w:hideMark/>
          </w:tcPr>
          <w:p w:rsidR="00F76FD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 Total: T16,4%; M15,7%; H16,9%                           </w:t>
            </w:r>
          </w:p>
          <w:p w:rsidR="00F76FD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 Urbano: T19,2%; M18,2%; H20                </w:t>
            </w:r>
          </w:p>
          <w:p w:rsidR="00F76FD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 Rural: T10%; M10%; H10,1%                   </w:t>
            </w:r>
          </w:p>
          <w:p w:rsidR="00F76FD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 15–19: T36,1%; M40,2%; H33,7%              </w:t>
            </w:r>
          </w:p>
          <w:p w:rsidR="00F76FD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 20-24: T34%; M35,7%; H32,6%                   </w:t>
            </w:r>
          </w:p>
          <w:p w:rsidR="00F76FD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 25-29: T 23,1%; M25,3%; H21,4%              </w:t>
            </w:r>
          </w:p>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30-34: T16%; M14,9%; H16,8%</w:t>
            </w:r>
          </w:p>
        </w:tc>
        <w:tc>
          <w:tcPr>
            <w:tcW w:w="794"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2013</w:t>
            </w:r>
          </w:p>
        </w:tc>
        <w:tc>
          <w:tcPr>
            <w:tcW w:w="3090"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Observatório de Igualdade de Género/SNIG                                                                INE Inquérito ao Emprego/ Inquérito Multiobjectivo Contínuo (IMC) </w:t>
            </w:r>
          </w:p>
        </w:tc>
      </w:tr>
      <w:tr w:rsidR="00D075EF" w:rsidRPr="00C90523" w:rsidTr="00F76FD3">
        <w:trPr>
          <w:trHeight w:val="2206"/>
        </w:trPr>
        <w:tc>
          <w:tcPr>
            <w:tcW w:w="1409"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single" w:sz="4" w:space="0" w:color="auto"/>
              <w:left w:val="nil"/>
              <w:bottom w:val="nil"/>
              <w:right w:val="nil"/>
            </w:tcBorders>
            <w:shd w:val="clear" w:color="auto" w:fill="B8CCE4" w:themeFill="accent1" w:themeFillTint="66"/>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4b</w:t>
            </w:r>
          </w:p>
        </w:tc>
        <w:tc>
          <w:tcPr>
            <w:tcW w:w="3248" w:type="dxa"/>
            <w:tcBorders>
              <w:top w:val="single" w:sz="4" w:space="0" w:color="auto"/>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Taxa de subemprego (menos de 40 horas semanais de trabalho remunerado quando existe disponibilidade para trabalhar mais horas, caso encontrasse outra actividade)</w:t>
            </w:r>
            <w:r w:rsidRPr="006568A3">
              <w:rPr>
                <w:rFonts w:ascii="Calibri" w:eastAsia="Times New Roman" w:hAnsi="Calibri" w:cs="Times New Roman"/>
                <w:color w:val="000000"/>
                <w:sz w:val="20"/>
                <w:szCs w:val="20"/>
                <w:lang w:eastAsia="es-ES"/>
              </w:rPr>
              <w:br/>
              <w:t>• Nacional (Total, Mulheres, Homens)</w:t>
            </w:r>
            <w:r w:rsidRPr="006568A3">
              <w:rPr>
                <w:rFonts w:ascii="Calibri" w:eastAsia="Times New Roman" w:hAnsi="Calibri" w:cs="Times New Roman"/>
                <w:color w:val="000000"/>
                <w:sz w:val="20"/>
                <w:szCs w:val="20"/>
                <w:lang w:eastAsia="es-ES"/>
              </w:rPr>
              <w:br/>
              <w:t>• Urbano (Total, Mulheres, Homens)</w:t>
            </w:r>
            <w:r w:rsidRPr="006568A3">
              <w:rPr>
                <w:rFonts w:ascii="Calibri" w:eastAsia="Times New Roman" w:hAnsi="Calibri" w:cs="Times New Roman"/>
                <w:color w:val="000000"/>
                <w:sz w:val="20"/>
                <w:szCs w:val="20"/>
                <w:lang w:eastAsia="es-ES"/>
              </w:rPr>
              <w:br/>
              <w:t>• Rural (Total, Mulheres, Homens)</w:t>
            </w:r>
          </w:p>
        </w:tc>
        <w:tc>
          <w:tcPr>
            <w:tcW w:w="4224"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94579C">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color w:val="000000"/>
                <w:sz w:val="20"/>
                <w:szCs w:val="20"/>
                <w:lang w:eastAsia="es-ES"/>
              </w:rPr>
              <w:t xml:space="preserve">• Nacional: T 37,8%; M 44,2% ; H 32,4%  </w:t>
            </w:r>
            <w:r w:rsidRPr="006568A3">
              <w:rPr>
                <w:rFonts w:ascii="Calibri" w:eastAsia="Times New Roman" w:hAnsi="Calibri" w:cs="Times New Roman"/>
                <w:color w:val="000000"/>
                <w:sz w:val="20"/>
                <w:szCs w:val="20"/>
                <w:lang w:eastAsia="es-ES"/>
              </w:rPr>
              <w:br/>
            </w:r>
            <w:r w:rsidRPr="006568A3">
              <w:rPr>
                <w:rFonts w:ascii="Calibri" w:eastAsia="Times New Roman" w:hAnsi="Calibri" w:cs="Times New Roman"/>
                <w:sz w:val="20"/>
                <w:szCs w:val="20"/>
                <w:lang w:eastAsia="es-ES"/>
              </w:rPr>
              <w:t>• Urbano T 14,7%; M 15,6%; 13,9%</w:t>
            </w:r>
          </w:p>
          <w:p w:rsidR="00D075EF" w:rsidRPr="00C90523" w:rsidRDefault="006568A3" w:rsidP="0094579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sz w:val="20"/>
                <w:szCs w:val="20"/>
                <w:lang w:eastAsia="es-ES"/>
              </w:rPr>
              <w:t>• Rural: T 60,6% ; M 71%; H 52,4%•</w:t>
            </w:r>
            <w:r w:rsidRPr="006568A3">
              <w:rPr>
                <w:rFonts w:ascii="Calibri" w:eastAsia="Times New Roman" w:hAnsi="Calibri" w:cs="Times New Roman"/>
                <w:color w:val="000000"/>
                <w:sz w:val="20"/>
                <w:szCs w:val="20"/>
                <w:lang w:eastAsia="es-ES"/>
              </w:rPr>
              <w:t xml:space="preserve"> </w:t>
            </w:r>
          </w:p>
        </w:tc>
        <w:tc>
          <w:tcPr>
            <w:tcW w:w="794"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2013</w:t>
            </w:r>
          </w:p>
        </w:tc>
        <w:tc>
          <w:tcPr>
            <w:tcW w:w="3090"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Observatório de Igualdade de Género/SNIG</w:t>
            </w:r>
            <w:r w:rsidRPr="006568A3">
              <w:rPr>
                <w:rFonts w:ascii="Calibri" w:eastAsia="Times New Roman" w:hAnsi="Calibri" w:cs="Times New Roman"/>
                <w:color w:val="000000"/>
                <w:sz w:val="20"/>
                <w:szCs w:val="20"/>
                <w:lang w:eastAsia="es-ES"/>
              </w:rPr>
              <w:br/>
              <w:t xml:space="preserve">INE Inquérito Multiobjectivo Contínuo </w:t>
            </w:r>
          </w:p>
        </w:tc>
      </w:tr>
      <w:tr w:rsidR="00D075EF" w:rsidRPr="00C90523" w:rsidTr="00F76FD3">
        <w:trPr>
          <w:trHeight w:val="655"/>
        </w:trPr>
        <w:tc>
          <w:tcPr>
            <w:tcW w:w="1409"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Economia Reprodutiva</w:t>
            </w:r>
          </w:p>
        </w:tc>
        <w:tc>
          <w:tcPr>
            <w:tcW w:w="2998"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Criar condições para dar maior visibilidade à economia reprodutiva e promover a maior co-responsabilidade na sua efectivação</w:t>
            </w:r>
          </w:p>
        </w:tc>
        <w:tc>
          <w:tcPr>
            <w:tcW w:w="454" w:type="dxa"/>
            <w:tcBorders>
              <w:top w:val="single" w:sz="4" w:space="0" w:color="auto"/>
              <w:left w:val="nil"/>
              <w:bottom w:val="single" w:sz="4" w:space="0" w:color="auto"/>
              <w:right w:val="nil"/>
            </w:tcBorders>
            <w:shd w:val="clear" w:color="auto" w:fill="DBE5F1" w:themeFill="accent1" w:themeFillTint="33"/>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5a</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E86086">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Percentagem de crianças dos 0 aos 2 anos que frequenta uma instituição de cuidados</w:t>
            </w:r>
            <w:r w:rsidRPr="006568A3">
              <w:rPr>
                <w:rStyle w:val="Refdenotaderodap"/>
                <w:rFonts w:ascii="Calibri" w:eastAsia="Times New Roman" w:hAnsi="Calibri" w:cs="Times New Roman"/>
                <w:sz w:val="20"/>
                <w:szCs w:val="20"/>
                <w:lang w:eastAsia="es-ES"/>
              </w:rPr>
              <w:footnoteReference w:id="59"/>
            </w:r>
            <w:r w:rsidRPr="006568A3">
              <w:rPr>
                <w:rFonts w:ascii="Calibri" w:eastAsia="Times New Roman" w:hAnsi="Calibri" w:cs="Times New Roman"/>
                <w:sz w:val="20"/>
                <w:szCs w:val="20"/>
                <w:lang w:eastAsia="es-ES"/>
              </w:rPr>
              <w:t>.</w:t>
            </w:r>
          </w:p>
        </w:tc>
        <w:tc>
          <w:tcPr>
            <w:tcW w:w="422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6,5</w:t>
            </w:r>
          </w:p>
        </w:tc>
        <w:tc>
          <w:tcPr>
            <w:tcW w:w="79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2012</w:t>
            </w:r>
          </w:p>
        </w:tc>
        <w:tc>
          <w:tcPr>
            <w:tcW w:w="3090"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Observatório de Igualdade de Género/SNIG                                   Relatório Estatístico MED</w:t>
            </w:r>
          </w:p>
        </w:tc>
      </w:tr>
      <w:tr w:rsidR="00D075EF" w:rsidRPr="00C90523" w:rsidTr="00F76FD3">
        <w:trPr>
          <w:trHeight w:val="2310"/>
        </w:trPr>
        <w:tc>
          <w:tcPr>
            <w:tcW w:w="1409"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nil"/>
              <w:left w:val="nil"/>
              <w:bottom w:val="single" w:sz="4" w:space="0" w:color="auto"/>
              <w:right w:val="nil"/>
            </w:tcBorders>
            <w:shd w:val="clear" w:color="auto" w:fill="DBE5F1" w:themeFill="accent1" w:themeFillTint="33"/>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5b</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Tempo médio semanal dedicado ao trabalho não remunerado por tipo de atividades </w:t>
            </w:r>
            <w:r w:rsidRPr="006568A3">
              <w:rPr>
                <w:rFonts w:ascii="Calibri" w:eastAsia="Times New Roman" w:hAnsi="Calibri" w:cs="Times New Roman"/>
                <w:color w:val="000000"/>
                <w:sz w:val="20"/>
                <w:szCs w:val="20"/>
                <w:lang w:eastAsia="es-ES"/>
              </w:rPr>
              <w:br/>
              <w:t>• Trabalho não remunerado geral</w:t>
            </w:r>
            <w:r w:rsidRPr="006568A3">
              <w:rPr>
                <w:rFonts w:ascii="Calibri" w:eastAsia="Times New Roman" w:hAnsi="Calibri" w:cs="Times New Roman"/>
                <w:color w:val="000000"/>
                <w:sz w:val="20"/>
                <w:szCs w:val="20"/>
                <w:lang w:eastAsia="es-ES"/>
              </w:rPr>
              <w:br/>
              <w:t>• Trabalho doméstico</w:t>
            </w:r>
            <w:r w:rsidRPr="006568A3">
              <w:rPr>
                <w:rFonts w:ascii="Calibri" w:eastAsia="Times New Roman" w:hAnsi="Calibri" w:cs="Times New Roman"/>
                <w:color w:val="000000"/>
                <w:sz w:val="20"/>
                <w:szCs w:val="20"/>
                <w:lang w:eastAsia="es-ES"/>
              </w:rPr>
              <w:br/>
              <w:t>• Cuidado a dependentes</w:t>
            </w:r>
            <w:r w:rsidRPr="006568A3">
              <w:rPr>
                <w:rFonts w:ascii="Calibri" w:eastAsia="Times New Roman" w:hAnsi="Calibri" w:cs="Times New Roman"/>
                <w:color w:val="000000"/>
                <w:sz w:val="20"/>
                <w:szCs w:val="20"/>
                <w:lang w:eastAsia="es-ES"/>
              </w:rPr>
              <w:br/>
              <w:t xml:space="preserve">• Apoio a outros agregados </w:t>
            </w:r>
            <w:r w:rsidRPr="006568A3">
              <w:rPr>
                <w:rFonts w:ascii="Calibri" w:eastAsia="Times New Roman" w:hAnsi="Calibri" w:cs="Times New Roman"/>
                <w:color w:val="000000"/>
                <w:sz w:val="20"/>
                <w:szCs w:val="20"/>
                <w:lang w:eastAsia="es-ES"/>
              </w:rPr>
              <w:br/>
              <w:t xml:space="preserve">• Trabalho voluntário </w:t>
            </w:r>
          </w:p>
        </w:tc>
        <w:tc>
          <w:tcPr>
            <w:tcW w:w="422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F76FD3">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 Trabalho não remunerado geral: </w:t>
            </w:r>
            <w:r w:rsidRPr="006568A3">
              <w:rPr>
                <w:rFonts w:ascii="Calibri" w:eastAsia="Times New Roman" w:hAnsi="Calibri" w:cs="Times New Roman"/>
                <w:color w:val="000000"/>
                <w:sz w:val="20"/>
                <w:szCs w:val="20"/>
                <w:lang w:eastAsia="es-ES"/>
              </w:rPr>
              <w:br/>
              <w:t>T 52:09:00; M 62:52:00; H 38:10:00</w:t>
            </w:r>
            <w:r w:rsidRPr="006568A3">
              <w:rPr>
                <w:rFonts w:ascii="Calibri" w:eastAsia="Times New Roman" w:hAnsi="Calibri" w:cs="Times New Roman"/>
                <w:color w:val="000000"/>
                <w:sz w:val="20"/>
                <w:szCs w:val="20"/>
                <w:lang w:eastAsia="es-ES"/>
              </w:rPr>
              <w:br/>
              <w:t xml:space="preserve">• Trabalho doméstico: </w:t>
            </w:r>
            <w:r w:rsidRPr="006568A3">
              <w:rPr>
                <w:rFonts w:ascii="Calibri" w:eastAsia="Times New Roman" w:hAnsi="Calibri" w:cs="Times New Roman"/>
                <w:color w:val="000000"/>
                <w:sz w:val="20"/>
                <w:szCs w:val="20"/>
                <w:lang w:eastAsia="es-ES"/>
              </w:rPr>
              <w:br/>
              <w:t>T 49:35:00; M 59:40:00; H 36:02:00</w:t>
            </w:r>
            <w:r w:rsidRPr="006568A3">
              <w:rPr>
                <w:rFonts w:ascii="Calibri" w:eastAsia="Times New Roman" w:hAnsi="Calibri" w:cs="Times New Roman"/>
                <w:color w:val="000000"/>
                <w:sz w:val="20"/>
                <w:szCs w:val="20"/>
                <w:lang w:eastAsia="es-ES"/>
              </w:rPr>
              <w:br/>
              <w:t xml:space="preserve">• Cuidado a dependentes: </w:t>
            </w:r>
            <w:r w:rsidRPr="006568A3">
              <w:rPr>
                <w:rFonts w:ascii="Calibri" w:eastAsia="Times New Roman" w:hAnsi="Calibri" w:cs="Times New Roman"/>
                <w:color w:val="000000"/>
                <w:sz w:val="20"/>
                <w:szCs w:val="20"/>
                <w:lang w:eastAsia="es-ES"/>
              </w:rPr>
              <w:br/>
              <w:t>T 17:23; M 19:01; H 12:03</w:t>
            </w:r>
            <w:r w:rsidRPr="006568A3">
              <w:rPr>
                <w:rFonts w:ascii="Calibri" w:eastAsia="Times New Roman" w:hAnsi="Calibri" w:cs="Times New Roman"/>
                <w:color w:val="000000"/>
                <w:sz w:val="20"/>
                <w:szCs w:val="20"/>
                <w:lang w:eastAsia="es-ES"/>
              </w:rPr>
              <w:br/>
              <w:t xml:space="preserve">• Apoio a outros agregados: </w:t>
            </w:r>
            <w:r w:rsidRPr="006568A3">
              <w:rPr>
                <w:rFonts w:ascii="Calibri" w:eastAsia="Times New Roman" w:hAnsi="Calibri" w:cs="Times New Roman"/>
                <w:color w:val="000000"/>
                <w:sz w:val="20"/>
                <w:szCs w:val="20"/>
                <w:lang w:eastAsia="es-ES"/>
              </w:rPr>
              <w:br/>
              <w:t>T 19:07; M 19:42; H 18:19</w:t>
            </w:r>
            <w:r w:rsidRPr="006568A3">
              <w:rPr>
                <w:rFonts w:ascii="Calibri" w:eastAsia="Times New Roman" w:hAnsi="Calibri" w:cs="Times New Roman"/>
                <w:color w:val="000000"/>
                <w:sz w:val="20"/>
                <w:szCs w:val="20"/>
                <w:lang w:eastAsia="es-ES"/>
              </w:rPr>
              <w:br/>
              <w:t xml:space="preserve">• Trabalho voluntário: </w:t>
            </w:r>
            <w:r w:rsidRPr="006568A3">
              <w:rPr>
                <w:rFonts w:ascii="Calibri" w:eastAsia="Times New Roman" w:hAnsi="Calibri" w:cs="Times New Roman"/>
                <w:color w:val="000000"/>
                <w:sz w:val="20"/>
                <w:szCs w:val="20"/>
                <w:lang w:eastAsia="es-ES"/>
              </w:rPr>
              <w:br/>
              <w:t>T 18:43; M 20:03; H 17:41</w:t>
            </w:r>
          </w:p>
        </w:tc>
        <w:tc>
          <w:tcPr>
            <w:tcW w:w="79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2012</w:t>
            </w:r>
          </w:p>
        </w:tc>
        <w:tc>
          <w:tcPr>
            <w:tcW w:w="3090"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Observatório de Igualdade de Género/SNIG</w:t>
            </w:r>
            <w:r w:rsidRPr="006568A3">
              <w:rPr>
                <w:rFonts w:ascii="Calibri" w:eastAsia="Times New Roman" w:hAnsi="Calibri" w:cs="Times New Roman"/>
                <w:color w:val="000000"/>
                <w:sz w:val="20"/>
                <w:szCs w:val="20"/>
                <w:lang w:eastAsia="es-ES"/>
              </w:rPr>
              <w:br/>
              <w:t>INE: Módulo do UT do ICM</w:t>
            </w:r>
          </w:p>
        </w:tc>
      </w:tr>
      <w:tr w:rsidR="00D075EF" w:rsidRPr="00C90523" w:rsidTr="00F76FD3">
        <w:trPr>
          <w:trHeight w:val="902"/>
        </w:trPr>
        <w:tc>
          <w:tcPr>
            <w:tcW w:w="1409" w:type="dxa"/>
            <w:vMerge w:val="restart"/>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6568A3" w:rsidP="00234E79">
            <w:pPr>
              <w:spacing w:after="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Participação política e nas esferas de tomada de decisão e comunicação</w:t>
            </w:r>
            <w:r w:rsidRPr="006568A3">
              <w:rPr>
                <w:rFonts w:ascii="Calibri" w:eastAsia="Times New Roman" w:hAnsi="Calibri" w:cs="Times New Roman"/>
                <w:b/>
                <w:bCs/>
                <w:sz w:val="20"/>
                <w:szCs w:val="20"/>
                <w:lang w:eastAsia="es-ES"/>
              </w:rPr>
              <w:tab/>
            </w:r>
          </w:p>
        </w:tc>
        <w:tc>
          <w:tcPr>
            <w:tcW w:w="2998" w:type="dxa"/>
            <w:vMerge w:val="restart"/>
            <w:tcBorders>
              <w:top w:val="nil"/>
              <w:left w:val="single" w:sz="4" w:space="0" w:color="auto"/>
              <w:bottom w:val="single" w:sz="4" w:space="0" w:color="000000"/>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Progredir em direção à paridade da participação de mulheres e homens em todos os campos de decisão, e em particular até 2016 no parlamento e nos órgãos de poder local.</w:t>
            </w:r>
          </w:p>
        </w:tc>
        <w:tc>
          <w:tcPr>
            <w:tcW w:w="454" w:type="dxa"/>
            <w:tcBorders>
              <w:top w:val="nil"/>
              <w:left w:val="nil"/>
              <w:bottom w:val="single" w:sz="4" w:space="0" w:color="auto"/>
              <w:right w:val="nil"/>
            </w:tcBorders>
            <w:shd w:val="clear" w:color="auto" w:fill="B8CCE4" w:themeFill="accent1" w:themeFillTint="66"/>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6a</w:t>
            </w:r>
          </w:p>
        </w:tc>
        <w:tc>
          <w:tcPr>
            <w:tcW w:w="3248"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Percentagem da assentos parlamentares na Assembleia nacional ocupados por mulheres</w:t>
            </w:r>
          </w:p>
        </w:tc>
        <w:tc>
          <w:tcPr>
            <w:tcW w:w="4224"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F76FD3">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20,8%</w:t>
            </w:r>
          </w:p>
        </w:tc>
        <w:tc>
          <w:tcPr>
            <w:tcW w:w="794"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2011</w:t>
            </w:r>
          </w:p>
        </w:tc>
        <w:tc>
          <w:tcPr>
            <w:tcW w:w="3090"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Observatório de Igualdade de Género/SNIG.  Boletim oficial da Comissão Nacional de Eleições</w:t>
            </w:r>
            <w:r w:rsidRPr="006568A3">
              <w:rPr>
                <w:rFonts w:ascii="Calibri" w:eastAsia="Times New Roman" w:hAnsi="Calibri" w:cs="Times New Roman"/>
                <w:color w:val="000000"/>
                <w:sz w:val="20"/>
                <w:szCs w:val="20"/>
                <w:lang w:eastAsia="es-ES"/>
              </w:rPr>
              <w:br/>
              <w:t>(B. O. Nº7, I Série, 19 Fevereiro 2011)</w:t>
            </w:r>
          </w:p>
        </w:tc>
      </w:tr>
      <w:tr w:rsidR="00D075EF" w:rsidRPr="00C90523" w:rsidTr="00F76FD3">
        <w:trPr>
          <w:trHeight w:val="820"/>
        </w:trPr>
        <w:tc>
          <w:tcPr>
            <w:tcW w:w="1409"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D075EF" w:rsidP="00234E79">
            <w:pPr>
              <w:spacing w:after="0" w:line="240" w:lineRule="auto"/>
              <w:rPr>
                <w:rFonts w:ascii="Calibri" w:eastAsia="Times New Roman" w:hAnsi="Calibri" w:cs="Times New Roman"/>
                <w:b/>
                <w:bCs/>
                <w:sz w:val="20"/>
                <w:szCs w:val="20"/>
                <w:lang w:eastAsia="es-ES"/>
              </w:rPr>
            </w:pPr>
          </w:p>
        </w:tc>
        <w:tc>
          <w:tcPr>
            <w:tcW w:w="2998"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D075EF" w:rsidRPr="00C90523" w:rsidRDefault="00D075EF" w:rsidP="00234E79">
            <w:pPr>
              <w:spacing w:after="0" w:line="240" w:lineRule="auto"/>
              <w:rPr>
                <w:rFonts w:ascii="Calibri" w:eastAsia="Times New Roman" w:hAnsi="Calibri" w:cs="Times New Roman"/>
                <w:color w:val="000000"/>
                <w:sz w:val="20"/>
                <w:szCs w:val="20"/>
                <w:lang w:eastAsia="es-ES"/>
              </w:rPr>
            </w:pPr>
          </w:p>
        </w:tc>
        <w:tc>
          <w:tcPr>
            <w:tcW w:w="454" w:type="dxa"/>
            <w:tcBorders>
              <w:top w:val="nil"/>
              <w:left w:val="nil"/>
              <w:bottom w:val="single" w:sz="4" w:space="0" w:color="auto"/>
              <w:right w:val="nil"/>
            </w:tcBorders>
            <w:shd w:val="clear" w:color="auto" w:fill="B8CCE4" w:themeFill="accent1" w:themeFillTint="66"/>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6b</w:t>
            </w:r>
          </w:p>
        </w:tc>
        <w:tc>
          <w:tcPr>
            <w:tcW w:w="3248"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Percentagem de cargos eleitos nas câmaras municipais ocupados por mulheres</w:t>
            </w:r>
          </w:p>
        </w:tc>
        <w:tc>
          <w:tcPr>
            <w:tcW w:w="4224" w:type="dxa"/>
            <w:tcBorders>
              <w:top w:val="nil"/>
              <w:left w:val="nil"/>
              <w:bottom w:val="single" w:sz="4" w:space="0" w:color="auto"/>
              <w:right w:val="single" w:sz="4" w:space="0" w:color="auto"/>
            </w:tcBorders>
            <w:shd w:val="clear" w:color="auto" w:fill="B8CCE4" w:themeFill="accent1" w:themeFillTint="66"/>
            <w:vAlign w:val="center"/>
            <w:hideMark/>
          </w:tcPr>
          <w:p w:rsidR="00D075EF" w:rsidRPr="00C90523" w:rsidRDefault="006568A3" w:rsidP="00F76FD3">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22,8%</w:t>
            </w:r>
          </w:p>
        </w:tc>
        <w:tc>
          <w:tcPr>
            <w:tcW w:w="794"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2012</w:t>
            </w:r>
          </w:p>
        </w:tc>
        <w:tc>
          <w:tcPr>
            <w:tcW w:w="3090" w:type="dxa"/>
            <w:tcBorders>
              <w:top w:val="nil"/>
              <w:left w:val="nil"/>
              <w:bottom w:val="single" w:sz="4" w:space="0" w:color="auto"/>
              <w:right w:val="single" w:sz="4" w:space="0" w:color="auto"/>
            </w:tcBorders>
            <w:shd w:val="clear" w:color="auto" w:fill="B8CCE4" w:themeFill="accent1" w:themeFillTint="66"/>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Observatório de Igualdade de Género/SNIG.  Boletim oficial da Comissão Nacional de Eleições (B. O. Nº45, I Série, 1 Agosto 2012)</w:t>
            </w:r>
          </w:p>
        </w:tc>
      </w:tr>
      <w:tr w:rsidR="00D075EF" w:rsidRPr="00C90523" w:rsidTr="00F76FD3">
        <w:trPr>
          <w:trHeight w:val="1530"/>
        </w:trPr>
        <w:tc>
          <w:tcPr>
            <w:tcW w:w="140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D075EF" w:rsidRPr="00C90523" w:rsidRDefault="006568A3" w:rsidP="004E457B">
            <w:pPr>
              <w:spacing w:after="0" w:line="240" w:lineRule="auto"/>
              <w:rPr>
                <w:rFonts w:ascii="Calibri" w:eastAsia="Times New Roman" w:hAnsi="Calibri" w:cs="Times New Roman"/>
                <w:b/>
                <w:bCs/>
                <w:sz w:val="20"/>
                <w:szCs w:val="20"/>
                <w:lang w:eastAsia="es-ES"/>
              </w:rPr>
            </w:pPr>
            <w:r w:rsidRPr="006568A3">
              <w:rPr>
                <w:rFonts w:ascii="Calibri" w:eastAsia="Times New Roman" w:hAnsi="Calibri" w:cs="Times New Roman"/>
                <w:b/>
                <w:bCs/>
                <w:sz w:val="20"/>
                <w:szCs w:val="20"/>
                <w:lang w:eastAsia="es-ES"/>
              </w:rPr>
              <w:t>Reforço institucional para a integração da abordagem de género nas políticas públicas</w:t>
            </w:r>
            <w:r w:rsidRPr="006568A3">
              <w:rPr>
                <w:rFonts w:ascii="Calibri" w:eastAsia="Times New Roman" w:hAnsi="Calibri" w:cs="Times New Roman"/>
                <w:b/>
                <w:bCs/>
                <w:sz w:val="20"/>
                <w:szCs w:val="20"/>
                <w:lang w:eastAsia="es-ES"/>
              </w:rPr>
              <w:tab/>
            </w:r>
          </w:p>
        </w:tc>
        <w:tc>
          <w:tcPr>
            <w:tcW w:w="299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Contribuir para  uma cultura promotora da igualdade de género nas instituições e uma coordenação efetiva para a institucionalização da abordagem de género a nível sectorial e local</w:t>
            </w:r>
          </w:p>
        </w:tc>
        <w:tc>
          <w:tcPr>
            <w:tcW w:w="454" w:type="dxa"/>
            <w:tcBorders>
              <w:top w:val="nil"/>
              <w:left w:val="nil"/>
              <w:bottom w:val="single" w:sz="4" w:space="0" w:color="auto"/>
              <w:right w:val="nil"/>
            </w:tcBorders>
            <w:shd w:val="clear" w:color="auto" w:fill="DBE5F1" w:themeFill="accent1" w:themeFillTint="33"/>
            <w:hideMark/>
          </w:tcPr>
          <w:p w:rsidR="00D075EF" w:rsidRPr="00C90523" w:rsidRDefault="006568A3" w:rsidP="00234E79">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7a</w:t>
            </w:r>
          </w:p>
        </w:tc>
        <w:tc>
          <w:tcPr>
            <w:tcW w:w="3248"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Nº de instituições/sectores que têm mecanismos promotores da igualdade de género com uma hierarquia ao nível de tomada de decisão (Ministro/a, DGPOG, DN ou equivalente)</w:t>
            </w:r>
          </w:p>
        </w:tc>
        <w:tc>
          <w:tcPr>
            <w:tcW w:w="4224" w:type="dxa"/>
            <w:tcBorders>
              <w:top w:val="nil"/>
              <w:left w:val="nil"/>
              <w:bottom w:val="single" w:sz="4" w:space="0" w:color="auto"/>
              <w:right w:val="single" w:sz="4" w:space="0" w:color="auto"/>
            </w:tcBorders>
            <w:shd w:val="clear" w:color="auto" w:fill="DBE5F1" w:themeFill="accent1" w:themeFillTint="33"/>
            <w:vAlign w:val="center"/>
            <w:hideMark/>
          </w:tcPr>
          <w:p w:rsidR="00D075EF" w:rsidRPr="00C90523" w:rsidRDefault="006568A3" w:rsidP="00F76FD3">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3                                                                  (Comunicação Social, MED, MAHOT)</w:t>
            </w:r>
          </w:p>
        </w:tc>
        <w:tc>
          <w:tcPr>
            <w:tcW w:w="794"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2014</w:t>
            </w:r>
          </w:p>
        </w:tc>
        <w:tc>
          <w:tcPr>
            <w:tcW w:w="3090" w:type="dxa"/>
            <w:tcBorders>
              <w:top w:val="nil"/>
              <w:left w:val="nil"/>
              <w:bottom w:val="single" w:sz="4" w:space="0" w:color="auto"/>
              <w:right w:val="single" w:sz="4" w:space="0" w:color="auto"/>
            </w:tcBorders>
            <w:shd w:val="clear" w:color="auto" w:fill="DBE5F1" w:themeFill="accent1" w:themeFillTint="33"/>
            <w:hideMark/>
          </w:tcPr>
          <w:p w:rsidR="00D075EF" w:rsidRPr="00C90523" w:rsidRDefault="006568A3" w:rsidP="00234E79">
            <w:pPr>
              <w:spacing w:after="0" w:line="240" w:lineRule="auto"/>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 xml:space="preserve">Observatório de Igualdade de Género/SNIG - Pontos Focais no âmbito do Comité Técnico Alargado (CTA) para a elaboração do PNIG </w:t>
            </w:r>
          </w:p>
        </w:tc>
      </w:tr>
    </w:tbl>
    <w:p w:rsidR="00E737B6" w:rsidRPr="00C90523" w:rsidRDefault="00E737B6" w:rsidP="005202AB">
      <w:pPr>
        <w:rPr>
          <w:sz w:val="18"/>
          <w:szCs w:val="18"/>
          <w:highlight w:val="yellow"/>
        </w:rPr>
      </w:pPr>
    </w:p>
    <w:p w:rsidR="00B007FE" w:rsidRPr="00C90523" w:rsidRDefault="006568A3">
      <w:pPr>
        <w:rPr>
          <w:sz w:val="18"/>
          <w:szCs w:val="18"/>
          <w:highlight w:val="yellow"/>
        </w:rPr>
        <w:sectPr w:rsidR="00B007FE" w:rsidRPr="00C90523" w:rsidSect="00303FFC">
          <w:pgSz w:w="17338" w:h="11906" w:orient="landscape"/>
          <w:pgMar w:top="1418" w:right="1418" w:bottom="1418" w:left="1418" w:header="720" w:footer="720" w:gutter="0"/>
          <w:cols w:space="720"/>
          <w:noEndnote/>
          <w:docGrid w:linePitch="299"/>
        </w:sectPr>
      </w:pPr>
      <w:r w:rsidRPr="006568A3">
        <w:rPr>
          <w:sz w:val="18"/>
          <w:szCs w:val="18"/>
          <w:highlight w:val="yellow"/>
        </w:rPr>
        <w:br w:type="page"/>
      </w:r>
    </w:p>
    <w:p w:rsidR="00562248" w:rsidRPr="00C90523" w:rsidRDefault="006568A3" w:rsidP="000F1F33">
      <w:pPr>
        <w:pStyle w:val="Cabealho2"/>
      </w:pPr>
      <w:bookmarkStart w:id="93" w:name="_Toc406667309"/>
      <w:r w:rsidRPr="006568A3">
        <w:t>4.2. Matriz de seguimento e avaliação dos efeitos</w:t>
      </w:r>
      <w:bookmarkEnd w:id="93"/>
    </w:p>
    <w:p w:rsidR="00562248" w:rsidRPr="00C90523" w:rsidRDefault="00562248" w:rsidP="000F1F33">
      <w:pPr>
        <w:spacing w:after="0"/>
      </w:pPr>
    </w:p>
    <w:tbl>
      <w:tblPr>
        <w:tblW w:w="11016" w:type="dxa"/>
        <w:tblInd w:w="60" w:type="dxa"/>
        <w:tblCellMar>
          <w:left w:w="70" w:type="dxa"/>
          <w:right w:w="70" w:type="dxa"/>
        </w:tblCellMar>
        <w:tblLook w:val="04A0" w:firstRow="1" w:lastRow="0" w:firstColumn="1" w:lastColumn="0" w:noHBand="0" w:noVBand="1"/>
      </w:tblPr>
      <w:tblGrid>
        <w:gridCol w:w="460"/>
        <w:gridCol w:w="2700"/>
        <w:gridCol w:w="490"/>
        <w:gridCol w:w="2700"/>
        <w:gridCol w:w="1660"/>
        <w:gridCol w:w="826"/>
        <w:gridCol w:w="2180"/>
      </w:tblGrid>
      <w:tr w:rsidR="00C375A1" w:rsidRPr="00C90523" w:rsidTr="006A791B">
        <w:trPr>
          <w:trHeight w:val="300"/>
          <w:tblHeader/>
        </w:trPr>
        <w:tc>
          <w:tcPr>
            <w:tcW w:w="3160" w:type="dxa"/>
            <w:gridSpan w:val="2"/>
            <w:tcBorders>
              <w:top w:val="single" w:sz="8" w:space="0" w:color="auto"/>
              <w:left w:val="single" w:sz="8" w:space="0" w:color="auto"/>
              <w:bottom w:val="nil"/>
              <w:right w:val="single" w:sz="8" w:space="0" w:color="000000"/>
            </w:tcBorders>
            <w:shd w:val="clear" w:color="000000" w:fill="4F81BD"/>
            <w:hideMark/>
          </w:tcPr>
          <w:p w:rsidR="00C375A1" w:rsidRPr="00C90523" w:rsidRDefault="006568A3" w:rsidP="00C375A1">
            <w:pPr>
              <w:spacing w:after="0" w:line="240" w:lineRule="auto"/>
              <w:jc w:val="center"/>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Resultados esperados</w:t>
            </w:r>
          </w:p>
        </w:tc>
        <w:tc>
          <w:tcPr>
            <w:tcW w:w="490" w:type="dxa"/>
            <w:tcBorders>
              <w:top w:val="nil"/>
              <w:left w:val="nil"/>
              <w:bottom w:val="nil"/>
              <w:right w:val="nil"/>
            </w:tcBorders>
            <w:shd w:val="clear" w:color="000000" w:fill="4F81BD"/>
            <w:hideMark/>
          </w:tcPr>
          <w:p w:rsidR="00C375A1" w:rsidRPr="00C90523" w:rsidRDefault="006568A3" w:rsidP="00C375A1">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w:t>
            </w:r>
          </w:p>
        </w:tc>
        <w:tc>
          <w:tcPr>
            <w:tcW w:w="2700" w:type="dxa"/>
            <w:tcBorders>
              <w:top w:val="single" w:sz="8" w:space="0" w:color="4F81BD"/>
              <w:left w:val="nil"/>
              <w:bottom w:val="nil"/>
              <w:right w:val="nil"/>
            </w:tcBorders>
            <w:shd w:val="clear" w:color="000000" w:fill="4F81BD"/>
            <w:hideMark/>
          </w:tcPr>
          <w:p w:rsidR="00C375A1" w:rsidRPr="00C90523" w:rsidRDefault="006568A3" w:rsidP="00C375A1">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Indicadores</w:t>
            </w:r>
          </w:p>
        </w:tc>
        <w:tc>
          <w:tcPr>
            <w:tcW w:w="1660" w:type="dxa"/>
            <w:tcBorders>
              <w:top w:val="single" w:sz="8" w:space="0" w:color="4F81BD"/>
              <w:left w:val="nil"/>
              <w:bottom w:val="nil"/>
              <w:right w:val="nil"/>
            </w:tcBorders>
            <w:shd w:val="clear" w:color="000000" w:fill="4F81BD"/>
            <w:hideMark/>
          </w:tcPr>
          <w:p w:rsidR="00C375A1" w:rsidRPr="00C90523" w:rsidRDefault="006568A3" w:rsidP="00C375A1">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Linha base</w:t>
            </w:r>
          </w:p>
        </w:tc>
        <w:tc>
          <w:tcPr>
            <w:tcW w:w="826" w:type="dxa"/>
            <w:tcBorders>
              <w:top w:val="single" w:sz="8" w:space="0" w:color="4F81BD"/>
              <w:left w:val="nil"/>
              <w:bottom w:val="nil"/>
              <w:right w:val="nil"/>
            </w:tcBorders>
            <w:shd w:val="clear" w:color="000000" w:fill="4F81BD"/>
            <w:hideMark/>
          </w:tcPr>
          <w:p w:rsidR="00C375A1" w:rsidRPr="00C90523" w:rsidRDefault="006568A3" w:rsidP="00C375A1">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Ano</w:t>
            </w:r>
          </w:p>
        </w:tc>
        <w:tc>
          <w:tcPr>
            <w:tcW w:w="2180" w:type="dxa"/>
            <w:tcBorders>
              <w:top w:val="single" w:sz="8" w:space="0" w:color="4F81BD"/>
              <w:left w:val="nil"/>
              <w:bottom w:val="nil"/>
              <w:right w:val="single" w:sz="8" w:space="0" w:color="4F81BD"/>
            </w:tcBorders>
            <w:shd w:val="clear" w:color="000000" w:fill="4F81BD"/>
            <w:hideMark/>
          </w:tcPr>
          <w:p w:rsidR="00C375A1" w:rsidRPr="00C90523" w:rsidRDefault="006568A3" w:rsidP="00C375A1">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Fonte de verificação</w:t>
            </w:r>
          </w:p>
        </w:tc>
      </w:tr>
      <w:tr w:rsidR="00C375A1" w:rsidRPr="00C90523" w:rsidTr="00C375A1">
        <w:trPr>
          <w:trHeight w:val="300"/>
        </w:trPr>
        <w:tc>
          <w:tcPr>
            <w:tcW w:w="3160" w:type="dxa"/>
            <w:gridSpan w:val="2"/>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Saúde</w:t>
            </w:r>
          </w:p>
        </w:tc>
        <w:tc>
          <w:tcPr>
            <w:tcW w:w="49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70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166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c>
          <w:tcPr>
            <w:tcW w:w="826"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18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r>
      <w:tr w:rsidR="00C375A1" w:rsidRPr="00C90523" w:rsidTr="00C375A1">
        <w:trPr>
          <w:trHeight w:val="163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Aumento do número de programas da saúde que utilizam uma abordagem de género e contribuem para respostas aos problemas diferenciados de mulheres e homens, incluindo grupos específicos, e um maior acesso dos homens aos diferentes serviços.</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Número de programas da saúde que mudou sua abordagem para dar resposta aos problemas diferenciados de mulheres e homens, incluindo grupos específicos. </w:t>
            </w:r>
          </w:p>
        </w:tc>
        <w:tc>
          <w:tcPr>
            <w:tcW w:w="1660"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do PNDS</w:t>
            </w:r>
            <w:r w:rsidRPr="006568A3">
              <w:rPr>
                <w:rFonts w:ascii="Calibri" w:eastAsia="Times New Roman" w:hAnsi="Calibri" w:cs="Times New Roman"/>
                <w:color w:val="000000"/>
                <w:sz w:val="18"/>
                <w:szCs w:val="18"/>
                <w:lang w:eastAsia="es-ES"/>
              </w:rPr>
              <w:br/>
              <w:t>Relatório de avaliação do PNDS</w:t>
            </w:r>
          </w:p>
        </w:tc>
      </w:tr>
      <w:tr w:rsidR="00C375A1" w:rsidRPr="00C90523" w:rsidTr="007174EA">
        <w:trPr>
          <w:trHeight w:val="1861"/>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Os dados do sector saúde estão disponíveis desagregados por sexo e outras variáveis relevantes e utilizados de maneira sistemática na planificação sectorial e no seguimento e avaliação do PNDS.</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Tipo de dados do sector saúde desagregados por sexo e outras variáveis que são utilizados no seguimento e avaliação do PNDS. </w:t>
            </w:r>
          </w:p>
        </w:tc>
        <w:tc>
          <w:tcPr>
            <w:tcW w:w="1660" w:type="dxa"/>
            <w:tcBorders>
              <w:top w:val="nil"/>
              <w:left w:val="nil"/>
              <w:bottom w:val="single" w:sz="4" w:space="0" w:color="auto"/>
              <w:right w:val="single" w:sz="4" w:space="0" w:color="auto"/>
            </w:tcBorders>
            <w:shd w:val="clear" w:color="auto" w:fill="auto"/>
            <w:hideMark/>
          </w:tcPr>
          <w:p w:rsidR="007174EA"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4</w:t>
            </w:r>
            <w:r w:rsidRPr="006568A3">
              <w:rPr>
                <w:rStyle w:val="Refdenotaderodap"/>
                <w:rFonts w:ascii="Calibri" w:eastAsia="Times New Roman" w:hAnsi="Calibri" w:cs="Times New Roman"/>
                <w:color w:val="000000"/>
                <w:sz w:val="18"/>
                <w:szCs w:val="18"/>
                <w:lang w:eastAsia="es-ES"/>
              </w:rPr>
              <w:footnoteReference w:id="60"/>
            </w:r>
            <w:r w:rsidRPr="006568A3">
              <w:rPr>
                <w:rFonts w:ascii="Calibri" w:eastAsia="Times New Roman" w:hAnsi="Calibri" w:cs="Times New Roman"/>
                <w:color w:val="000000"/>
                <w:sz w:val="18"/>
                <w:szCs w:val="18"/>
                <w:lang w:eastAsia="es-ES"/>
              </w:rPr>
              <w:t xml:space="preserve"> </w:t>
            </w:r>
          </w:p>
          <w:p w:rsidR="00C375A1" w:rsidRPr="00C90523" w:rsidRDefault="00C375A1" w:rsidP="00C375A1">
            <w:pPr>
              <w:spacing w:after="0" w:line="240" w:lineRule="auto"/>
              <w:jc w:val="center"/>
              <w:rPr>
                <w:rFonts w:ascii="Calibri" w:eastAsia="Times New Roman" w:hAnsi="Calibri" w:cs="Times New Roman"/>
                <w:color w:val="000000"/>
                <w:sz w:val="18"/>
                <w:szCs w:val="18"/>
                <w:lang w:eastAsia="es-ES"/>
              </w:rPr>
            </w:pP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PNDS</w:t>
            </w:r>
          </w:p>
        </w:tc>
      </w:tr>
      <w:tr w:rsidR="00C375A1" w:rsidRPr="00C90523" w:rsidTr="006A791B">
        <w:trPr>
          <w:trHeight w:val="117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1.3</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conhecimento do impacto nas mulheres do tempo dedicado aos cuidados de pessoas doentes.</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1.3a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propostas formuladas para melhorar os programas de prestação de cuidados de saúde, bem como de apoio às/aos que cuidam.</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estudo sobre impacto nas mulheres do tempo dedicado aos cuidados de pessoas doentes  (Actividade do PNIG)</w:t>
            </w:r>
          </w:p>
        </w:tc>
      </w:tr>
      <w:tr w:rsidR="00C375A1" w:rsidRPr="00C90523" w:rsidTr="00C375A1">
        <w:trPr>
          <w:trHeight w:val="300"/>
        </w:trPr>
        <w:tc>
          <w:tcPr>
            <w:tcW w:w="3160" w:type="dxa"/>
            <w:gridSpan w:val="2"/>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Direitos sexuais e reprodutivos</w:t>
            </w:r>
          </w:p>
        </w:tc>
        <w:tc>
          <w:tcPr>
            <w:tcW w:w="49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70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166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jc w:val="center"/>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c>
          <w:tcPr>
            <w:tcW w:w="826"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18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r>
      <w:tr w:rsidR="00C375A1" w:rsidRPr="00C90523" w:rsidTr="00C375A1">
        <w:trPr>
          <w:trHeight w:val="2412"/>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Aumentada a sensibilidade dos serviços de SSR às questões de género, bem como as respostas às necessidades de homens e mulheres e de grupos específicos, para uma maior autonomia das raparigas e mulheres, e de exercício de masculinidades positivas dos homens e rapazes. </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Numero de linhas de atuação de atenção às demandas de homens e mulheres e grupos específicos em relação à SSR que respondem aos gaps identificados no diagnostico que são implementadas na prestação de serviços de SSR.</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Diagnostico sobre as práticas atuais e os gaps existentes na prestação de serviços de SSR (Actividade do PNIG)</w:t>
            </w:r>
          </w:p>
        </w:tc>
      </w:tr>
      <w:tr w:rsidR="00C375A1" w:rsidRPr="00C90523" w:rsidTr="00C375A1">
        <w:trPr>
          <w:trHeight w:val="178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As análises e a planificação no domínio do VIH/SIDA integram melhor os papeis de género atribuídos a homens e mulheres e abordagens promotoras da mudança de comportamento. </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estratégias promotoras da mudança de comportamento que são integradas na planificação do combate ao VIH-SIDA 2015-2018.</w:t>
            </w:r>
          </w:p>
        </w:tc>
        <w:tc>
          <w:tcPr>
            <w:tcW w:w="1660" w:type="dxa"/>
            <w:tcBorders>
              <w:top w:val="nil"/>
              <w:left w:val="nil"/>
              <w:bottom w:val="single" w:sz="4" w:space="0" w:color="auto"/>
              <w:right w:val="single" w:sz="4" w:space="0" w:color="auto"/>
            </w:tcBorders>
            <w:shd w:val="clear" w:color="auto" w:fill="auto"/>
            <w:vAlign w:val="center"/>
            <w:hideMark/>
          </w:tcPr>
          <w:p w:rsidR="0094579C"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2 </w:t>
            </w:r>
          </w:p>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(SSR Jovens e EIO - Espaços de Informação e Orientação)</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94579C">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do estudo sobre dinâmica subjacente aos comportamento de risco  dos grupos prioritários identificados pelo Plano Nacional de cobate ao VIH-SIDA (Actividade do PNIG)</w:t>
            </w:r>
          </w:p>
        </w:tc>
      </w:tr>
      <w:tr w:rsidR="00C375A1" w:rsidRPr="00C90523" w:rsidTr="00C375A1">
        <w:trPr>
          <w:trHeight w:val="178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2.3</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Lideranças comunitárias e pessoal técnico de enquadramento com competências aumentadas para um abordagem de género das questões de sexualidade a nível comunitário.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2.3a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instituições e organizações com trabalho a nível comunitário que tem pessoal técnico capacitados para a abordagem de género da sexualidade a nível comunitário.</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do Programa de Saúde Reprodutiva</w:t>
            </w:r>
          </w:p>
        </w:tc>
      </w:tr>
      <w:tr w:rsidR="00C375A1" w:rsidRPr="00C90523" w:rsidTr="00C375A1">
        <w:trPr>
          <w:trHeight w:val="102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2.4</w:t>
            </w:r>
          </w:p>
        </w:tc>
        <w:tc>
          <w:tcPr>
            <w:tcW w:w="2700" w:type="dxa"/>
            <w:tcBorders>
              <w:top w:val="nil"/>
              <w:left w:val="nil"/>
              <w:bottom w:val="single" w:sz="4" w:space="0" w:color="auto"/>
              <w:right w:val="single" w:sz="4" w:space="0" w:color="auto"/>
            </w:tcBorders>
            <w:shd w:val="clear" w:color="auto" w:fill="auto"/>
            <w:hideMark/>
          </w:tcPr>
          <w:p w:rsidR="007174EA" w:rsidRPr="00C90523" w:rsidRDefault="006568A3" w:rsidP="00562248">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Melhorado a compreensão do fenómeno da gravidez na adolescência e engajamento com a sua prevenção.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2.4a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campanhas/programas que contribuem à prevenção da gravidez na adolescência.</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do Programa de Saúde Reprodutiva</w:t>
            </w:r>
          </w:p>
        </w:tc>
      </w:tr>
      <w:tr w:rsidR="00C375A1" w:rsidRPr="00C90523" w:rsidTr="00C375A1">
        <w:trPr>
          <w:trHeight w:val="300"/>
        </w:trPr>
        <w:tc>
          <w:tcPr>
            <w:tcW w:w="3650" w:type="dxa"/>
            <w:gridSpan w:val="3"/>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 xml:space="preserve">Educação e formação profissional </w:t>
            </w:r>
          </w:p>
        </w:tc>
        <w:tc>
          <w:tcPr>
            <w:tcW w:w="270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166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jc w:val="center"/>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c>
          <w:tcPr>
            <w:tcW w:w="826"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18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r>
      <w:tr w:rsidR="00C375A1" w:rsidRPr="00C90523" w:rsidTr="00C375A1">
        <w:trPr>
          <w:trHeight w:val="106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integração da igualdade de género nas práticas educativas a todos os níveis.</w:t>
            </w:r>
          </w:p>
        </w:tc>
        <w:tc>
          <w:tcPr>
            <w:tcW w:w="490" w:type="dxa"/>
            <w:tcBorders>
              <w:top w:val="nil"/>
              <w:left w:val="nil"/>
              <w:bottom w:val="single" w:sz="4" w:space="0" w:color="auto"/>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cursos de pré-escolar, ensino básico, secundário, formação profissional e superior que integram uma conteúdos sobre igualdade de género (ligado a PNVBG 1.5.).</w:t>
            </w:r>
          </w:p>
        </w:tc>
        <w:tc>
          <w:tcPr>
            <w:tcW w:w="166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4 cursos integraram curricula e/ou módulos de género (pg. 43 Beijing+20, com base no Plano de Capacitação CIGEF)</w:t>
            </w:r>
          </w:p>
        </w:tc>
        <w:tc>
          <w:tcPr>
            <w:tcW w:w="826"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Ano lectivo 2011/12</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Plano de capacitação do CIGEF/UniCV</w:t>
            </w:r>
            <w:r w:rsidRPr="006568A3">
              <w:rPr>
                <w:rFonts w:ascii="Calibri" w:eastAsia="Times New Roman" w:hAnsi="Calibri" w:cs="Times New Roman"/>
                <w:color w:val="000000"/>
                <w:sz w:val="18"/>
                <w:szCs w:val="18"/>
                <w:lang w:eastAsia="es-ES"/>
              </w:rPr>
              <w:br/>
              <w:t>Relatório do CIGEF</w:t>
            </w:r>
            <w:r w:rsidRPr="006568A3">
              <w:rPr>
                <w:rFonts w:ascii="Calibri" w:eastAsia="Times New Roman" w:hAnsi="Calibri" w:cs="Times New Roman"/>
                <w:color w:val="000000"/>
                <w:sz w:val="18"/>
                <w:szCs w:val="18"/>
                <w:lang w:eastAsia="es-ES"/>
              </w:rPr>
              <w:br/>
              <w:t>Relatório do IEFP</w:t>
            </w:r>
          </w:p>
        </w:tc>
      </w:tr>
      <w:tr w:rsidR="00C375A1" w:rsidRPr="00C90523" w:rsidTr="00C375A1">
        <w:trPr>
          <w:trHeight w:val="106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B20A8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Estratégias identificadas e implementadas para diminuir as taxas de insucesso e abandono escolar</w:t>
            </w:r>
            <w:r w:rsidRPr="006568A3">
              <w:rPr>
                <w:rFonts w:ascii="Calibri" w:eastAsia="Times New Roman" w:hAnsi="Calibri" w:cs="Times New Roman"/>
                <w:b/>
                <w:bCs/>
                <w:color w:val="000000"/>
                <w:sz w:val="20"/>
                <w:szCs w:val="20"/>
                <w:lang w:eastAsia="es-ES"/>
              </w:rPr>
              <w:t xml:space="preserve"> </w:t>
            </w:r>
            <w:r w:rsidRPr="006568A3">
              <w:rPr>
                <w:rFonts w:ascii="Calibri" w:eastAsia="Times New Roman" w:hAnsi="Calibri" w:cs="Times New Roman"/>
                <w:color w:val="000000"/>
                <w:sz w:val="20"/>
                <w:szCs w:val="20"/>
                <w:lang w:eastAsia="es-ES"/>
              </w:rPr>
              <w:t>respondendo diferenciadamente às especificidades de rapazes e raparigas.</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3.2a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B20A8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estratégias para a abordagem do insucesso e abandono escolar que respondam às especificidades de rapazes e raparigas implementadas.</w:t>
            </w:r>
          </w:p>
        </w:tc>
        <w:tc>
          <w:tcPr>
            <w:tcW w:w="1660" w:type="dxa"/>
            <w:tcBorders>
              <w:top w:val="nil"/>
              <w:left w:val="nil"/>
              <w:bottom w:val="single" w:sz="4" w:space="0" w:color="auto"/>
              <w:right w:val="single" w:sz="4" w:space="0" w:color="auto"/>
            </w:tcBorders>
            <w:shd w:val="clear" w:color="auto" w:fill="auto"/>
            <w:noWrap/>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Estudos sobre insucesso escolar e das crianças fora da escola, entre outros</w:t>
            </w:r>
          </w:p>
        </w:tc>
      </w:tr>
      <w:tr w:rsidR="00C375A1" w:rsidRPr="00C90523" w:rsidTr="00C375A1">
        <w:trPr>
          <w:trHeight w:val="300"/>
        </w:trPr>
        <w:tc>
          <w:tcPr>
            <w:tcW w:w="3160" w:type="dxa"/>
            <w:gridSpan w:val="2"/>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Economia produtiva</w:t>
            </w:r>
          </w:p>
        </w:tc>
        <w:tc>
          <w:tcPr>
            <w:tcW w:w="490" w:type="dxa"/>
            <w:tcBorders>
              <w:top w:val="nil"/>
              <w:left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700" w:type="dxa"/>
            <w:tcBorders>
              <w:top w:val="nil"/>
              <w:left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166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jc w:val="center"/>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c>
          <w:tcPr>
            <w:tcW w:w="826"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18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r>
      <w:tr w:rsidR="00C375A1" w:rsidRPr="00C90523" w:rsidTr="00C375A1">
        <w:trPr>
          <w:trHeight w:val="153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Oportunidades de empreendedorismo das mulheres melhoradas, numa perspectiva de empoderamento económico.  </w:t>
            </w:r>
          </w:p>
        </w:tc>
        <w:tc>
          <w:tcPr>
            <w:tcW w:w="490" w:type="dxa"/>
            <w:tcBorders>
              <w:top w:val="single" w:sz="4" w:space="0" w:color="auto"/>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medidas incluídas nos programas de promoção do empreendedorismo que contribuem ao empoderamento económico das mulheres .</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B914A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ADEI</w:t>
            </w:r>
            <w:r w:rsidRPr="006568A3">
              <w:rPr>
                <w:rFonts w:ascii="Calibri" w:eastAsia="Times New Roman" w:hAnsi="Calibri" w:cs="Times New Roman"/>
                <w:color w:val="000000"/>
                <w:sz w:val="18"/>
                <w:szCs w:val="18"/>
                <w:lang w:eastAsia="es-ES"/>
              </w:rPr>
              <w:br/>
              <w:t>Relatório POSER</w:t>
            </w:r>
            <w:r w:rsidRPr="006568A3">
              <w:rPr>
                <w:rFonts w:ascii="Calibri" w:eastAsia="Times New Roman" w:hAnsi="Calibri" w:cs="Times New Roman"/>
                <w:color w:val="000000"/>
                <w:sz w:val="18"/>
                <w:szCs w:val="18"/>
                <w:lang w:eastAsia="es-ES"/>
              </w:rPr>
              <w:br/>
              <w:t>Relatório MDR</w:t>
            </w:r>
          </w:p>
        </w:tc>
      </w:tr>
      <w:tr w:rsidR="00C375A1" w:rsidRPr="00C90523" w:rsidTr="00C375A1">
        <w:trPr>
          <w:trHeight w:val="204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conhecimento das jovens sobre as opções formativas de acordo com as necessidades do mercado de trabalho para promover a sua empregabilidade.</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Existência de medidas de promoção de acesso equilibrado das mulheres nos programas de formação profissional com potencial de empregabilidade (com base no estudo a ser feito como parte do PNIG)</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Estudo das áreas com maior potencial de empregabilidade de mulheres e homens (Actividade do PNIG)</w:t>
            </w:r>
          </w:p>
        </w:tc>
      </w:tr>
      <w:tr w:rsidR="00C375A1" w:rsidRPr="00C90523" w:rsidTr="00C375A1">
        <w:trPr>
          <w:trHeight w:val="178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4.3</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Melhoradas as condições para mudar às dinâmicas sociais e a descriminação que bloqueiam o acesso das mulheres, ao emprego digno.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4.3a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F7148A">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medidas implementadas para melhorar o acesso das mulheres ao emprego digno e mudar a sua discriminação mo mundo laboral.</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Propostas incluídas no estudo dos estereótipos de género e dinâmicas sociais que impedem o acesso das mulheres ao emprego (Actividade do PNIG)</w:t>
            </w:r>
          </w:p>
        </w:tc>
      </w:tr>
      <w:tr w:rsidR="00C375A1" w:rsidRPr="00C90523" w:rsidTr="00C375A1">
        <w:trPr>
          <w:trHeight w:val="178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w:t>
            </w:r>
          </w:p>
        </w:tc>
        <w:tc>
          <w:tcPr>
            <w:tcW w:w="2700" w:type="dxa"/>
            <w:tcBorders>
              <w:top w:val="nil"/>
              <w:left w:val="nil"/>
              <w:bottom w:val="single" w:sz="4" w:space="0" w:color="auto"/>
              <w:right w:val="single" w:sz="4" w:space="0" w:color="auto"/>
            </w:tcBorders>
            <w:shd w:val="clear" w:color="auto" w:fill="auto"/>
            <w:hideMark/>
          </w:tcPr>
          <w:p w:rsidR="00107F9D" w:rsidRPr="00C90523" w:rsidRDefault="006568A3" w:rsidP="00107F9D">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Aumentado o apoio às mulheres rurais e peri-urbanas no âmbito dos programas de luta contra a pobreza e melhoraria da segurança alimentar para a melhoria das condições de vida desde uma perspectiva de género.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4.4a</w:t>
            </w:r>
          </w:p>
        </w:tc>
        <w:tc>
          <w:tcPr>
            <w:tcW w:w="2700" w:type="dxa"/>
            <w:tcBorders>
              <w:top w:val="nil"/>
              <w:left w:val="nil"/>
              <w:bottom w:val="single" w:sz="4" w:space="0" w:color="auto"/>
              <w:right w:val="single" w:sz="4" w:space="0" w:color="auto"/>
            </w:tcBorders>
            <w:shd w:val="clear" w:color="auto" w:fill="auto"/>
            <w:hideMark/>
          </w:tcPr>
          <w:p w:rsidR="00107F9D"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Medidas de apoio as mulheres rurais e peri-urbanas nos programas de luta contra a pobreza e da segurança alimentar que visam melhorar seu acesso à terra, à água, ao crédito e ao apoio técnico e formação.</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Relatórios anuais dos programas de luta contra a pobreza e da segurança alimentar</w:t>
            </w:r>
          </w:p>
        </w:tc>
      </w:tr>
      <w:tr w:rsidR="00C375A1" w:rsidRPr="00C90523" w:rsidTr="00C375A1">
        <w:trPr>
          <w:trHeight w:val="300"/>
        </w:trPr>
        <w:tc>
          <w:tcPr>
            <w:tcW w:w="3160" w:type="dxa"/>
            <w:gridSpan w:val="2"/>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Economia Reprodutiva</w:t>
            </w:r>
          </w:p>
        </w:tc>
        <w:tc>
          <w:tcPr>
            <w:tcW w:w="49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70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166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jc w:val="center"/>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c>
          <w:tcPr>
            <w:tcW w:w="826"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w:t>
            </w:r>
          </w:p>
        </w:tc>
        <w:tc>
          <w:tcPr>
            <w:tcW w:w="2180" w:type="dxa"/>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bCs/>
                <w:color w:val="000000"/>
                <w:sz w:val="18"/>
                <w:szCs w:val="18"/>
                <w:lang w:eastAsia="es-ES"/>
              </w:rPr>
              <w:t> </w:t>
            </w:r>
          </w:p>
        </w:tc>
      </w:tr>
      <w:tr w:rsidR="00C375A1" w:rsidRPr="00C90523" w:rsidTr="00C375A1">
        <w:trPr>
          <w:trHeight w:val="127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Um maior número de dados/estudos evidenciam a contribuição do trabalho não remunerado das mulheres para a economia e bem-estar  </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Número de dados/estudos que evidenciam a contribuição do trabalho não remunerado das mulheres para a economia e bem-estar.  </w:t>
            </w:r>
          </w:p>
        </w:tc>
        <w:tc>
          <w:tcPr>
            <w:tcW w:w="1660" w:type="dxa"/>
            <w:tcBorders>
              <w:top w:val="nil"/>
              <w:left w:val="nil"/>
              <w:bottom w:val="single" w:sz="4" w:space="0" w:color="auto"/>
              <w:right w:val="single" w:sz="4" w:space="0" w:color="auto"/>
            </w:tcBorders>
            <w:shd w:val="clear" w:color="auto" w:fill="auto"/>
            <w:vAlign w:val="center"/>
            <w:hideMark/>
          </w:tcPr>
          <w:p w:rsidR="0094579C"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1 </w:t>
            </w:r>
          </w:p>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uso do tempo 2012)</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Site do INE</w:t>
            </w:r>
            <w:r w:rsidRPr="006568A3">
              <w:rPr>
                <w:rFonts w:ascii="Calibri" w:eastAsia="Times New Roman" w:hAnsi="Calibri" w:cs="Times New Roman"/>
                <w:color w:val="000000"/>
                <w:sz w:val="18"/>
                <w:szCs w:val="18"/>
                <w:lang w:eastAsia="es-ES"/>
              </w:rPr>
              <w:br/>
              <w:t>Documentos de estudos sobre a contribuição do trabalho não remunerado das mulheres</w:t>
            </w:r>
          </w:p>
        </w:tc>
      </w:tr>
      <w:tr w:rsidR="00C375A1" w:rsidRPr="00C90523" w:rsidTr="00C375A1">
        <w:trPr>
          <w:trHeight w:val="153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Aumentada a compreensão da dimensão de pobreza de tempo como elemento que dificulta o acesso ao trabalho remunerado e as suas ligações à pobreza. </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Existência da dimensão da pobreza de tempo na metodologia de calculo da pobreza. </w:t>
            </w:r>
          </w:p>
        </w:tc>
        <w:tc>
          <w:tcPr>
            <w:tcW w:w="1660"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Não</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do inquérito IDRF (Despesas e rendimentos familiares)</w:t>
            </w:r>
            <w:r w:rsidRPr="006568A3">
              <w:rPr>
                <w:rFonts w:ascii="Calibri" w:eastAsia="Times New Roman" w:hAnsi="Calibri" w:cs="Times New Roman"/>
                <w:color w:val="000000"/>
                <w:sz w:val="18"/>
                <w:szCs w:val="18"/>
                <w:lang w:eastAsia="es-ES"/>
              </w:rPr>
              <w:br/>
              <w:t>Dados de pobreza publicados</w:t>
            </w:r>
          </w:p>
        </w:tc>
      </w:tr>
      <w:tr w:rsidR="00C375A1" w:rsidRPr="00C90523" w:rsidTr="00F32E0F">
        <w:trPr>
          <w:trHeight w:val="2653"/>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Medidas que contribuem para a redução do tempo e esforço gasto nas tarefas domésticas e de cuidados são criadas e implementadas.</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5.3a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medidas que contribuem para a redução do tempo e esforço gasto nas tarefas domésticas e de cuidados implementadas nos programas de luta contra a pobreza, infraestruturas de saneamento básico, de energia, na política integral de apoio a pequena infância, entre outros.</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Relatórios dos programas de luta contra a pobreza, infraestruturas de saneamento básico, de energia, na política integral de apoio a pequena infância.</w:t>
            </w:r>
          </w:p>
        </w:tc>
      </w:tr>
      <w:tr w:rsidR="00C375A1" w:rsidRPr="00C90523" w:rsidTr="00F32E0F">
        <w:trPr>
          <w:trHeight w:val="1544"/>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5.4</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Incrementar as medidas de apoio disponíveis para os agregados monoparentais em situação de pobreza que facilitem a conciliação entre o trabalho produtivo e reprodutivo.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5.4a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medidas de apoio disponíveis para os agregados monoparentais em situação de pobreza que facilitem a conciliação entre o trabalho produtivo e reprodutivo.</w:t>
            </w:r>
          </w:p>
        </w:tc>
        <w:tc>
          <w:tcPr>
            <w:tcW w:w="1660" w:type="dxa"/>
            <w:tcBorders>
              <w:top w:val="nil"/>
              <w:left w:val="nil"/>
              <w:bottom w:val="single" w:sz="4" w:space="0" w:color="auto"/>
              <w:right w:val="single" w:sz="4" w:space="0" w:color="auto"/>
            </w:tcBorders>
            <w:shd w:val="clear" w:color="auto" w:fill="auto"/>
            <w:noWrap/>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Relatórios dos programas da DGSS/MJEDRH (apoio à reabilitação habitacional, à terceira idade, AGR para mulheres chefes de família, programa de transferência de renda (entre outros)</w:t>
            </w:r>
          </w:p>
        </w:tc>
      </w:tr>
      <w:tr w:rsidR="00C375A1" w:rsidRPr="00C90523" w:rsidTr="0094579C">
        <w:trPr>
          <w:trHeight w:val="300"/>
        </w:trPr>
        <w:tc>
          <w:tcPr>
            <w:tcW w:w="11016" w:type="dxa"/>
            <w:gridSpan w:val="7"/>
            <w:tcBorders>
              <w:top w:val="nil"/>
              <w:left w:val="nil"/>
              <w:bottom w:val="nil"/>
              <w:right w:val="nil"/>
            </w:tcBorders>
            <w:shd w:val="clear" w:color="000000" w:fill="BFBFBF"/>
            <w:noWrap/>
            <w:vAlign w:val="bottom"/>
            <w:hideMark/>
          </w:tcPr>
          <w:p w:rsidR="00C375A1" w:rsidRPr="00C90523" w:rsidRDefault="006568A3" w:rsidP="00C375A1">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Participação política e nas esferas de tomada de decisão e comunicação</w:t>
            </w:r>
            <w:r w:rsidRPr="006568A3">
              <w:rPr>
                <w:rFonts w:ascii="Calibri" w:eastAsia="Times New Roman" w:hAnsi="Calibri" w:cs="Times New Roman"/>
                <w:b/>
                <w:color w:val="000000"/>
                <w:lang w:eastAsia="es-ES"/>
              </w:rPr>
              <w:tab/>
            </w:r>
          </w:p>
        </w:tc>
      </w:tr>
      <w:tr w:rsidR="00C375A1" w:rsidRPr="00C90523" w:rsidTr="00F32E0F">
        <w:trPr>
          <w:trHeight w:val="2137"/>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E2426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Incrementada a participação das mulheres nos órgãos de decisão electivos nas próximas eleições nacionais e autárquicas. </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de mulheres candidatas em posição elegível nas listas para as próximas eleições legislativas e  autárquicas.</w:t>
            </w:r>
          </w:p>
        </w:tc>
        <w:tc>
          <w:tcPr>
            <w:tcW w:w="166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b/>
                <w:bCs/>
                <w:color w:val="000000"/>
                <w:sz w:val="18"/>
                <w:szCs w:val="18"/>
                <w:lang w:eastAsia="es-ES"/>
              </w:rPr>
              <w:t xml:space="preserve">Legislativas 2011 – </w:t>
            </w:r>
            <w:r w:rsidRPr="006568A3">
              <w:rPr>
                <w:rFonts w:ascii="Calibri" w:eastAsia="Times New Roman" w:hAnsi="Calibri" w:cs="Times New Roman"/>
                <w:color w:val="000000"/>
                <w:sz w:val="18"/>
                <w:szCs w:val="18"/>
                <w:lang w:eastAsia="es-ES"/>
              </w:rPr>
              <w:t>Candidatos/as efectivos/as</w:t>
            </w:r>
            <w:r w:rsidRPr="006568A3">
              <w:rPr>
                <w:rFonts w:ascii="Calibri" w:eastAsia="Times New Roman" w:hAnsi="Calibri" w:cs="Times New Roman"/>
                <w:color w:val="000000"/>
                <w:sz w:val="18"/>
                <w:szCs w:val="18"/>
                <w:lang w:eastAsia="es-ES"/>
              </w:rPr>
              <w:br/>
              <w:t xml:space="preserve">T:239; M: 61; H:178 </w:t>
            </w:r>
            <w:r w:rsidRPr="006568A3">
              <w:rPr>
                <w:rFonts w:ascii="Calibri" w:eastAsia="Times New Roman" w:hAnsi="Calibri" w:cs="Times New Roman"/>
                <w:color w:val="000000"/>
                <w:sz w:val="18"/>
                <w:szCs w:val="18"/>
                <w:lang w:eastAsia="es-ES"/>
              </w:rPr>
              <w:br/>
              <w:t>M:25,5% - H:74,5%</w:t>
            </w:r>
            <w:r w:rsidRPr="006568A3">
              <w:rPr>
                <w:rFonts w:ascii="Calibri" w:eastAsia="Times New Roman" w:hAnsi="Calibri" w:cs="Times New Roman"/>
                <w:color w:val="000000"/>
                <w:sz w:val="18"/>
                <w:szCs w:val="18"/>
                <w:lang w:eastAsia="es-ES"/>
              </w:rPr>
              <w:br/>
              <w:t xml:space="preserve"> </w:t>
            </w:r>
            <w:r w:rsidRPr="006568A3">
              <w:rPr>
                <w:rFonts w:ascii="Calibri" w:eastAsia="Times New Roman" w:hAnsi="Calibri" w:cs="Times New Roman"/>
                <w:b/>
                <w:bCs/>
                <w:color w:val="000000"/>
                <w:sz w:val="18"/>
                <w:szCs w:val="18"/>
                <w:lang w:eastAsia="es-ES"/>
              </w:rPr>
              <w:t xml:space="preserve">Municipais 2012 – </w:t>
            </w:r>
            <w:r w:rsidRPr="006568A3">
              <w:rPr>
                <w:rFonts w:ascii="Calibri" w:eastAsia="Times New Roman" w:hAnsi="Calibri" w:cs="Times New Roman"/>
                <w:b/>
                <w:bCs/>
                <w:color w:val="000000"/>
                <w:sz w:val="18"/>
                <w:szCs w:val="18"/>
                <w:lang w:eastAsia="es-ES"/>
              </w:rPr>
              <w:br/>
            </w:r>
            <w:r w:rsidRPr="006568A3">
              <w:rPr>
                <w:rFonts w:ascii="Calibri" w:eastAsia="Times New Roman" w:hAnsi="Calibri" w:cs="Times New Roman"/>
                <w:color w:val="000000"/>
                <w:sz w:val="18"/>
                <w:szCs w:val="18"/>
                <w:lang w:eastAsia="es-ES"/>
              </w:rPr>
              <w:t>Candidatos/as efectivos/as</w:t>
            </w:r>
            <w:r w:rsidRPr="006568A3">
              <w:rPr>
                <w:rFonts w:ascii="Calibri" w:eastAsia="Times New Roman" w:hAnsi="Calibri" w:cs="Times New Roman"/>
                <w:color w:val="000000"/>
                <w:sz w:val="18"/>
                <w:szCs w:val="18"/>
                <w:lang w:eastAsia="es-ES"/>
              </w:rPr>
              <w:br/>
              <w:t xml:space="preserve">T:327; M:95; H:232 </w:t>
            </w:r>
            <w:r w:rsidRPr="006568A3">
              <w:rPr>
                <w:rFonts w:ascii="Calibri" w:eastAsia="Times New Roman" w:hAnsi="Calibri" w:cs="Times New Roman"/>
                <w:color w:val="000000"/>
                <w:sz w:val="18"/>
                <w:szCs w:val="18"/>
                <w:lang w:eastAsia="es-ES"/>
              </w:rPr>
              <w:br/>
              <w:t>M: 29,1% - H:70,9%</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Listas publicadas pela CNE</w:t>
            </w:r>
          </w:p>
        </w:tc>
      </w:tr>
      <w:tr w:rsidR="00C375A1" w:rsidRPr="00C90523" w:rsidTr="00C375A1">
        <w:trPr>
          <w:trHeight w:val="102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Incrementada a participação das mulheres nos cargos de tomar de decisão na administração pública.</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de mulheres em cargos de tomada de decisão na administração pública.</w:t>
            </w:r>
          </w:p>
        </w:tc>
        <w:tc>
          <w:tcPr>
            <w:tcW w:w="166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35% (2013)</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Site do INE</w:t>
            </w:r>
            <w:r w:rsidRPr="006568A3">
              <w:rPr>
                <w:rFonts w:ascii="Calibri" w:eastAsia="Times New Roman" w:hAnsi="Calibri" w:cs="Times New Roman"/>
                <w:color w:val="000000"/>
                <w:sz w:val="18"/>
                <w:szCs w:val="18"/>
                <w:lang w:eastAsia="es-ES"/>
              </w:rPr>
              <w:br/>
              <w:t>Dados do inquérito de emprego do INE</w:t>
            </w:r>
          </w:p>
        </w:tc>
      </w:tr>
      <w:tr w:rsidR="00C375A1" w:rsidRPr="00C90523" w:rsidTr="00F32E0F">
        <w:trPr>
          <w:trHeight w:val="1538"/>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6.3</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Aumentada a participação das mulheres nos cargos de decisão dos partidos políticos.</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6.3a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de mulheres nos cargos de decisão dos partidos políticos.</w:t>
            </w:r>
          </w:p>
        </w:tc>
        <w:tc>
          <w:tcPr>
            <w:tcW w:w="1660" w:type="dxa"/>
            <w:tcBorders>
              <w:top w:val="nil"/>
              <w:left w:val="nil"/>
              <w:bottom w:val="single" w:sz="4" w:space="0" w:color="auto"/>
              <w:right w:val="single" w:sz="4" w:space="0" w:color="auto"/>
            </w:tcBorders>
            <w:shd w:val="clear" w:color="auto" w:fill="auto"/>
            <w:hideMark/>
          </w:tcPr>
          <w:p w:rsidR="00C375A1" w:rsidRPr="00C90523" w:rsidRDefault="006568A3" w:rsidP="00F32E0F">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37/135 = 27,4% </w:t>
            </w:r>
            <w:r w:rsidRPr="006568A3">
              <w:rPr>
                <w:rFonts w:ascii="Calibri" w:eastAsia="Times New Roman" w:hAnsi="Calibri" w:cs="Times New Roman"/>
                <w:sz w:val="18"/>
                <w:szCs w:val="18"/>
                <w:lang w:eastAsia="es-ES"/>
              </w:rPr>
              <w:br/>
              <w:t>(Vice-Presidentes, membros da Comissão Política Nacional e do Conselho/Direção Nacional)</w:t>
            </w:r>
            <w:r w:rsidRPr="006568A3">
              <w:rPr>
                <w:rStyle w:val="Refdenotaderodap"/>
                <w:rFonts w:ascii="Calibri" w:eastAsia="Times New Roman" w:hAnsi="Calibri" w:cs="Times New Roman"/>
                <w:sz w:val="18"/>
                <w:szCs w:val="18"/>
                <w:lang w:eastAsia="es-ES"/>
              </w:rPr>
              <w:footnoteReference w:id="61"/>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Dados das direções dos partidos políticos</w:t>
            </w:r>
          </w:p>
        </w:tc>
      </w:tr>
      <w:tr w:rsidR="00C375A1" w:rsidRPr="00C90523" w:rsidTr="00F32E0F">
        <w:trPr>
          <w:trHeight w:val="162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6.4</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 xml:space="preserve">Maior contribuição da comunicação social para a criação de um ambiente favorável à participação paritária de mulheres e homens na política. </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6.4a</w:t>
            </w:r>
          </w:p>
        </w:tc>
        <w:tc>
          <w:tcPr>
            <w:tcW w:w="2700" w:type="dxa"/>
            <w:tcBorders>
              <w:top w:val="nil"/>
              <w:left w:val="nil"/>
              <w:bottom w:val="single" w:sz="4" w:space="0" w:color="auto"/>
              <w:right w:val="single" w:sz="4" w:space="0" w:color="auto"/>
            </w:tcBorders>
            <w:shd w:val="clear" w:color="auto" w:fill="auto"/>
            <w:hideMark/>
          </w:tcPr>
          <w:p w:rsidR="00F32E0F" w:rsidRPr="00C90523" w:rsidRDefault="006568A3" w:rsidP="00F32E0F">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medidas implementadas pelos meios de comunicação social para favorecer a igualdade de género e eliminar os estereótipos sexistas ou discriminatórios.</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Relatório do Trust Fund </w:t>
            </w:r>
            <w:r w:rsidRPr="006568A3">
              <w:rPr>
                <w:rFonts w:ascii="Calibri" w:eastAsia="Times New Roman" w:hAnsi="Calibri" w:cs="Times New Roman"/>
                <w:color w:val="000000"/>
                <w:sz w:val="18"/>
                <w:szCs w:val="18"/>
                <w:lang w:eastAsia="es-ES"/>
              </w:rPr>
              <w:br/>
              <w:t>Ficha de informação a implementar com os órgãos de comunicação social</w:t>
            </w:r>
          </w:p>
        </w:tc>
      </w:tr>
    </w:tbl>
    <w:p w:rsidR="00F32E0F" w:rsidRPr="00C90523" w:rsidRDefault="006568A3">
      <w:r w:rsidRPr="006568A3">
        <w:br w:type="page"/>
      </w:r>
    </w:p>
    <w:tbl>
      <w:tblPr>
        <w:tblW w:w="11016" w:type="dxa"/>
        <w:tblInd w:w="60" w:type="dxa"/>
        <w:tblCellMar>
          <w:left w:w="70" w:type="dxa"/>
          <w:right w:w="70" w:type="dxa"/>
        </w:tblCellMar>
        <w:tblLook w:val="04A0" w:firstRow="1" w:lastRow="0" w:firstColumn="1" w:lastColumn="0" w:noHBand="0" w:noVBand="1"/>
      </w:tblPr>
      <w:tblGrid>
        <w:gridCol w:w="460"/>
        <w:gridCol w:w="2700"/>
        <w:gridCol w:w="490"/>
        <w:gridCol w:w="2700"/>
        <w:gridCol w:w="1660"/>
        <w:gridCol w:w="826"/>
        <w:gridCol w:w="2180"/>
      </w:tblGrid>
      <w:tr w:rsidR="004E457B" w:rsidRPr="00C90523" w:rsidTr="009B79D5">
        <w:trPr>
          <w:trHeight w:val="345"/>
        </w:trPr>
        <w:tc>
          <w:tcPr>
            <w:tcW w:w="460" w:type="dxa"/>
            <w:tcBorders>
              <w:top w:val="nil"/>
              <w:left w:val="nil"/>
              <w:bottom w:val="nil"/>
              <w:right w:val="nil"/>
            </w:tcBorders>
            <w:shd w:val="clear" w:color="000000" w:fill="BFBFBF"/>
            <w:noWrap/>
            <w:vAlign w:val="bottom"/>
            <w:hideMark/>
          </w:tcPr>
          <w:p w:rsidR="004E457B" w:rsidRPr="00C90523" w:rsidRDefault="006568A3" w:rsidP="00C375A1">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 </w:t>
            </w:r>
          </w:p>
        </w:tc>
        <w:tc>
          <w:tcPr>
            <w:tcW w:w="10556" w:type="dxa"/>
            <w:gridSpan w:val="6"/>
            <w:tcBorders>
              <w:top w:val="nil"/>
              <w:left w:val="nil"/>
              <w:bottom w:val="nil"/>
              <w:right w:val="nil"/>
            </w:tcBorders>
            <w:shd w:val="clear" w:color="000000" w:fill="BFBFBF"/>
            <w:noWrap/>
            <w:hideMark/>
          </w:tcPr>
          <w:p w:rsidR="004E457B" w:rsidRPr="00C90523" w:rsidRDefault="006568A3" w:rsidP="004E457B">
            <w:pPr>
              <w:spacing w:after="0" w:line="240" w:lineRule="auto"/>
              <w:rPr>
                <w:rFonts w:ascii="Calibri" w:eastAsia="Times New Roman" w:hAnsi="Calibri" w:cs="Times New Roman"/>
                <w:b/>
                <w:bCs/>
                <w:color w:val="000000"/>
                <w:sz w:val="18"/>
                <w:szCs w:val="18"/>
                <w:lang w:eastAsia="es-ES"/>
              </w:rPr>
            </w:pPr>
            <w:r w:rsidRPr="006568A3">
              <w:rPr>
                <w:rFonts w:ascii="Calibri" w:eastAsia="Times New Roman" w:hAnsi="Calibri" w:cs="Times New Roman"/>
                <w:b/>
                <w:color w:val="000000"/>
                <w:lang w:eastAsia="es-ES"/>
              </w:rPr>
              <w:t>Reforço institucional para a integração da abordagem de género nas políticas públicas</w:t>
            </w:r>
            <w:r w:rsidRPr="006568A3">
              <w:rPr>
                <w:rFonts w:ascii="Calibri" w:eastAsia="Times New Roman" w:hAnsi="Calibri" w:cs="Times New Roman"/>
                <w:b/>
                <w:bCs/>
                <w:color w:val="000000"/>
                <w:sz w:val="18"/>
                <w:szCs w:val="18"/>
                <w:lang w:eastAsia="es-ES"/>
              </w:rPr>
              <w:t> </w:t>
            </w:r>
          </w:p>
        </w:tc>
      </w:tr>
      <w:tr w:rsidR="00C375A1" w:rsidRPr="00C90523" w:rsidTr="00C375A1">
        <w:trPr>
          <w:trHeight w:val="2824"/>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7.1</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A produção estatística permite uma análise mais aprofundada  e maior divulgação da situação de género em Cabo Verde e o desenvolvimento de pesquisa, operacional e académica, em particular em relação a indicadores económicos, à caracterização da situação de grupos específicos de mulheres (e.g. mulheres com deficiência, mulheres rurais, pobreza).</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7.1a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analises que permitem um conhecimento mais aprofundado dos grupos específicos de mulheres (e.g. mulheres com deficiência, mulheres rurais, pobreza).</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Site do INE</w:t>
            </w:r>
          </w:p>
        </w:tc>
      </w:tr>
      <w:tr w:rsidR="00C375A1" w:rsidRPr="00C90523" w:rsidTr="00C375A1">
        <w:trPr>
          <w:trHeight w:val="115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7.2</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institucionalização da abordagem de género nos processo de planificação e orçamentação.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7.2a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instrumentos e medidas que prometem a inclusão da abordagem de género nos processo de planificação e orçamentação.</w:t>
            </w:r>
          </w:p>
        </w:tc>
        <w:tc>
          <w:tcPr>
            <w:tcW w:w="1660"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1 (Manual metodológico para a integração do género na planificação sectorial)</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 anual de ICIEG</w:t>
            </w:r>
            <w:r w:rsidRPr="006568A3">
              <w:rPr>
                <w:rFonts w:ascii="Calibri" w:eastAsia="Times New Roman" w:hAnsi="Calibri" w:cs="Times New Roman"/>
                <w:color w:val="000000"/>
                <w:sz w:val="18"/>
                <w:szCs w:val="18"/>
                <w:lang w:eastAsia="es-ES"/>
              </w:rPr>
              <w:br/>
              <w:t>Normativa orçamental e diretrizes anuais</w:t>
            </w:r>
            <w:r w:rsidRPr="006568A3">
              <w:rPr>
                <w:rFonts w:ascii="Calibri" w:eastAsia="Times New Roman" w:hAnsi="Calibri" w:cs="Times New Roman"/>
                <w:color w:val="000000"/>
                <w:sz w:val="18"/>
                <w:szCs w:val="18"/>
                <w:lang w:eastAsia="es-ES"/>
              </w:rPr>
              <w:br/>
              <w:t>CI-GOV e listado dos classificadores orçamentários</w:t>
            </w:r>
          </w:p>
        </w:tc>
      </w:tr>
      <w:tr w:rsidR="00C375A1" w:rsidRPr="00C90523" w:rsidTr="00F32E0F">
        <w:trPr>
          <w:trHeight w:val="1791"/>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7.3</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Maior visibilidade das ligações entre as questões de igualdade de género e as políticas macroeconómicas e o desenvolvimento em Cabo Verde.</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7.3a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94579C">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Evidencia da inclusão da abordagem de género nas reflexões sobre agenda de desenvolvimento, as políticas macroeconómicas, de redução da pobreza, emprego, comércio, fiscalidade, orçamento, etc.</w:t>
            </w:r>
          </w:p>
        </w:tc>
        <w:tc>
          <w:tcPr>
            <w:tcW w:w="1660" w:type="dxa"/>
            <w:tcBorders>
              <w:top w:val="nil"/>
              <w:left w:val="nil"/>
              <w:bottom w:val="single" w:sz="4" w:space="0" w:color="auto"/>
              <w:right w:val="single" w:sz="4" w:space="0" w:color="auto"/>
            </w:tcBorders>
            <w:shd w:val="clear" w:color="auto" w:fill="auto"/>
            <w:noWrap/>
            <w:vAlign w:val="center"/>
            <w:hideMark/>
          </w:tcPr>
          <w:p w:rsidR="00C375A1" w:rsidRPr="00C90523" w:rsidRDefault="006568A3" w:rsidP="00C375A1">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0</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Relatórios dos eventos de reflexão sobre agenda de desenvolvimento</w:t>
            </w:r>
            <w:r w:rsidRPr="006568A3">
              <w:rPr>
                <w:rFonts w:ascii="Calibri" w:eastAsia="Times New Roman" w:hAnsi="Calibri" w:cs="Times New Roman"/>
                <w:color w:val="000000"/>
                <w:sz w:val="18"/>
                <w:szCs w:val="18"/>
                <w:lang w:eastAsia="es-ES"/>
              </w:rPr>
              <w:br/>
              <w:t>Documentos estratégicos da agenda económica e desenvolvimento do pais</w:t>
            </w:r>
          </w:p>
        </w:tc>
      </w:tr>
      <w:tr w:rsidR="00C375A1" w:rsidRPr="00C90523" w:rsidTr="00C375A1">
        <w:trPr>
          <w:trHeight w:val="1545"/>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7.4</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ICIEG com maior capacidade institucional de atuação e coordenação visando a promoção da igualdade de género.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7.4a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Quantidade de recursos humanos e financeiros disponibilizados para o ICIEG.</w:t>
            </w:r>
          </w:p>
        </w:tc>
        <w:tc>
          <w:tcPr>
            <w:tcW w:w="1660"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*5 Pessoal técnico superior + 1 Presidente</w:t>
            </w:r>
            <w:r w:rsidRPr="006568A3">
              <w:rPr>
                <w:rFonts w:ascii="Calibri" w:eastAsia="Times New Roman" w:hAnsi="Calibri" w:cs="Times New Roman"/>
                <w:color w:val="000000"/>
                <w:sz w:val="18"/>
                <w:szCs w:val="18"/>
                <w:lang w:eastAsia="es-ES"/>
              </w:rPr>
              <w:br/>
              <w:t>*Orçamento de funcionamento: 12.114 contos CV</w:t>
            </w:r>
            <w:r w:rsidRPr="006568A3">
              <w:rPr>
                <w:rFonts w:ascii="Calibri" w:eastAsia="Times New Roman" w:hAnsi="Calibri" w:cs="Times New Roman"/>
                <w:color w:val="000000"/>
                <w:sz w:val="18"/>
                <w:szCs w:val="18"/>
                <w:lang w:eastAsia="es-ES"/>
              </w:rPr>
              <w:br/>
              <w:t>*Orçamento de investimento do estado: 4.500 contos CV</w:t>
            </w:r>
            <w:r w:rsidRPr="006568A3">
              <w:rPr>
                <w:rFonts w:ascii="Calibri" w:eastAsia="Times New Roman" w:hAnsi="Calibri" w:cs="Times New Roman"/>
                <w:color w:val="000000"/>
                <w:sz w:val="18"/>
                <w:szCs w:val="18"/>
                <w:lang w:eastAsia="es-ES"/>
              </w:rPr>
              <w:br/>
              <w:t>*Parceiros internacionais 13.077 contos CV</w:t>
            </w:r>
          </w:p>
        </w:tc>
        <w:tc>
          <w:tcPr>
            <w:tcW w:w="826" w:type="dxa"/>
            <w:tcBorders>
              <w:top w:val="nil"/>
              <w:left w:val="nil"/>
              <w:bottom w:val="single" w:sz="4" w:space="0" w:color="auto"/>
              <w:right w:val="single" w:sz="4" w:space="0" w:color="auto"/>
            </w:tcBorders>
            <w:shd w:val="clear" w:color="auto" w:fill="auto"/>
            <w:vAlign w:val="center"/>
            <w:hideMark/>
          </w:tcPr>
          <w:p w:rsidR="00C375A1" w:rsidRPr="00C90523" w:rsidRDefault="006568A3" w:rsidP="00C375A1">
            <w:pPr>
              <w:spacing w:after="0" w:line="240" w:lineRule="auto"/>
              <w:jc w:val="center"/>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Orçamento do Estado</w:t>
            </w:r>
            <w:r w:rsidRPr="006568A3">
              <w:rPr>
                <w:rFonts w:ascii="Calibri" w:eastAsia="Times New Roman" w:hAnsi="Calibri" w:cs="Times New Roman"/>
                <w:color w:val="000000"/>
                <w:sz w:val="18"/>
                <w:szCs w:val="18"/>
                <w:lang w:eastAsia="es-ES"/>
              </w:rPr>
              <w:br/>
              <w:t>Relatório do ICIEG</w:t>
            </w:r>
          </w:p>
        </w:tc>
      </w:tr>
      <w:tr w:rsidR="00C375A1" w:rsidRPr="00C90523" w:rsidTr="00C375A1">
        <w:trPr>
          <w:trHeight w:val="1530"/>
        </w:trPr>
        <w:tc>
          <w:tcPr>
            <w:tcW w:w="460" w:type="dxa"/>
            <w:tcBorders>
              <w:top w:val="nil"/>
              <w:left w:val="single" w:sz="4" w:space="0" w:color="auto"/>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7.5</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Melhoramento do quadro legal e regulamentar cabo-verdiano para integrar os direitos humanos das mulheres e promover a igualdade de género.</w:t>
            </w:r>
          </w:p>
        </w:tc>
        <w:tc>
          <w:tcPr>
            <w:tcW w:w="490" w:type="dxa"/>
            <w:tcBorders>
              <w:top w:val="nil"/>
              <w:left w:val="nil"/>
              <w:bottom w:val="single" w:sz="4" w:space="0" w:color="auto"/>
              <w:right w:val="nil"/>
            </w:tcBorders>
            <w:shd w:val="clear" w:color="auto" w:fill="auto"/>
            <w:hideMark/>
          </w:tcPr>
          <w:p w:rsidR="00C375A1" w:rsidRPr="00C90523" w:rsidRDefault="006568A3" w:rsidP="00C375A1">
            <w:pPr>
              <w:spacing w:after="0" w:line="240" w:lineRule="auto"/>
              <w:jc w:val="right"/>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7.5a</w:t>
            </w:r>
          </w:p>
        </w:tc>
        <w:tc>
          <w:tcPr>
            <w:tcW w:w="270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color w:val="000000"/>
                <w:sz w:val="20"/>
                <w:szCs w:val="20"/>
                <w:lang w:eastAsia="es-ES"/>
              </w:rPr>
            </w:pPr>
            <w:r w:rsidRPr="006568A3">
              <w:rPr>
                <w:rFonts w:ascii="Calibri" w:eastAsia="Times New Roman" w:hAnsi="Calibri" w:cs="Times New Roman"/>
                <w:color w:val="000000"/>
                <w:sz w:val="20"/>
                <w:szCs w:val="20"/>
                <w:lang w:eastAsia="es-ES"/>
              </w:rPr>
              <w:t>Número de medidas legislativas e regulamentares aprovadas em áreas chave para promover os direitos humanos das mulheres e a igualdade de género.</w:t>
            </w:r>
          </w:p>
        </w:tc>
        <w:tc>
          <w:tcPr>
            <w:tcW w:w="166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3                                                                  (Comunicação Social, MED, MAHOT)</w:t>
            </w:r>
          </w:p>
        </w:tc>
        <w:tc>
          <w:tcPr>
            <w:tcW w:w="826"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jc w:val="center"/>
              <w:rPr>
                <w:rFonts w:ascii="Calibri" w:eastAsia="Times New Roman" w:hAnsi="Calibri" w:cs="Times New Roman"/>
                <w:sz w:val="20"/>
                <w:szCs w:val="20"/>
                <w:lang w:eastAsia="es-ES"/>
              </w:rPr>
            </w:pPr>
            <w:r w:rsidRPr="006568A3">
              <w:rPr>
                <w:rFonts w:ascii="Calibri" w:eastAsia="Times New Roman" w:hAnsi="Calibri" w:cs="Times New Roman"/>
                <w:sz w:val="20"/>
                <w:szCs w:val="20"/>
                <w:lang w:eastAsia="es-ES"/>
              </w:rPr>
              <w:t>2014</w:t>
            </w:r>
          </w:p>
        </w:tc>
        <w:tc>
          <w:tcPr>
            <w:tcW w:w="2180" w:type="dxa"/>
            <w:tcBorders>
              <w:top w:val="nil"/>
              <w:left w:val="nil"/>
              <w:bottom w:val="single" w:sz="4" w:space="0" w:color="auto"/>
              <w:right w:val="single" w:sz="4" w:space="0" w:color="auto"/>
            </w:tcBorders>
            <w:shd w:val="clear" w:color="auto" w:fill="auto"/>
            <w:hideMark/>
          </w:tcPr>
          <w:p w:rsidR="00C375A1" w:rsidRPr="00C90523" w:rsidRDefault="006568A3" w:rsidP="00C375A1">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Observatório de Igualdade de Género/SNIG - Pontos Focais no âmbito do Comité Técnico Alargado (CTA) para a elaboração do PNIG </w:t>
            </w:r>
          </w:p>
        </w:tc>
      </w:tr>
    </w:tbl>
    <w:p w:rsidR="00B007FE" w:rsidRPr="00C90523" w:rsidRDefault="00B007FE">
      <w:pPr>
        <w:rPr>
          <w:sz w:val="18"/>
          <w:szCs w:val="18"/>
          <w:highlight w:val="yellow"/>
        </w:rPr>
      </w:pPr>
    </w:p>
    <w:p w:rsidR="008E6638" w:rsidRPr="00C90523" w:rsidRDefault="008E6638" w:rsidP="005202AB">
      <w:pPr>
        <w:rPr>
          <w:sz w:val="18"/>
          <w:szCs w:val="18"/>
          <w:highlight w:val="yellow"/>
        </w:rPr>
        <w:sectPr w:rsidR="008E6638" w:rsidRPr="00C90523" w:rsidSect="00B007FE">
          <w:pgSz w:w="11906" w:h="17338"/>
          <w:pgMar w:top="720" w:right="720" w:bottom="720" w:left="720" w:header="720" w:footer="720" w:gutter="0"/>
          <w:cols w:space="720"/>
          <w:noEndnote/>
          <w:docGrid w:linePitch="299"/>
        </w:sectPr>
      </w:pPr>
    </w:p>
    <w:p w:rsidR="00E56BF0" w:rsidRDefault="006568A3" w:rsidP="00FC40AF">
      <w:pPr>
        <w:pStyle w:val="Cabealho1"/>
      </w:pPr>
      <w:bookmarkStart w:id="94" w:name="_Toc406667310"/>
      <w:r w:rsidRPr="006568A3">
        <w:t>5</w:t>
      </w:r>
      <w:r w:rsidR="007C5B79">
        <w:t>.</w:t>
      </w:r>
      <w:r w:rsidRPr="006568A3">
        <w:t xml:space="preserve"> ESTIMA</w:t>
      </w:r>
      <w:r w:rsidR="007C5B79">
        <w:t>TIVA</w:t>
      </w:r>
      <w:r w:rsidRPr="006568A3">
        <w:t xml:space="preserve"> ORÇAMENT</w:t>
      </w:r>
      <w:r w:rsidR="007C5B79">
        <w:t>AL</w:t>
      </w:r>
      <w:bookmarkEnd w:id="94"/>
      <w:r w:rsidRPr="006568A3">
        <w:t xml:space="preserve"> </w:t>
      </w:r>
    </w:p>
    <w:p w:rsidR="00FC40AF" w:rsidRPr="00FC40AF" w:rsidRDefault="00FC40AF" w:rsidP="00FC40AF"/>
    <w:p w:rsidR="008E6638" w:rsidRPr="00C90523" w:rsidRDefault="006568A3" w:rsidP="008E6638">
      <w:pPr>
        <w:jc w:val="both"/>
        <w:rPr>
          <w:bCs/>
        </w:rPr>
      </w:pPr>
      <w:r w:rsidRPr="006568A3">
        <w:t>Como descrito no quadro institucional de intervenção, coordenação e parceria</w:t>
      </w:r>
      <w:r w:rsidR="007C5B79">
        <w:t>,</w:t>
      </w:r>
      <w:r w:rsidRPr="006568A3">
        <w:t xml:space="preserve"> o PNIG cont</w:t>
      </w:r>
      <w:r w:rsidR="007C5B79">
        <w:t>é</w:t>
      </w:r>
      <w:r w:rsidRPr="006568A3">
        <w:t xml:space="preserve">m 73 medidas ao longo dos </w:t>
      </w:r>
      <w:r w:rsidR="007C5B79">
        <w:t xml:space="preserve">seus </w:t>
      </w:r>
      <w:r w:rsidRPr="006568A3">
        <w:t>7 eixos (para al</w:t>
      </w:r>
      <w:r w:rsidR="007C5B79">
        <w:t>é</w:t>
      </w:r>
      <w:r w:rsidRPr="006568A3">
        <w:t>m das medidas incluídas no PNVBG II)</w:t>
      </w:r>
      <w:r w:rsidR="00072674">
        <w:t xml:space="preserve">, estando as </w:t>
      </w:r>
      <w:r w:rsidRPr="006568A3">
        <w:t>responsabilidade</w:t>
      </w:r>
      <w:r w:rsidR="00072674">
        <w:t>s para a sua</w:t>
      </w:r>
      <w:r w:rsidRPr="006568A3">
        <w:t xml:space="preserve"> implementação atribuída</w:t>
      </w:r>
      <w:r w:rsidR="00072674">
        <w:t>s</w:t>
      </w:r>
      <w:r w:rsidRPr="006568A3">
        <w:t xml:space="preserve"> a diferentes entidades. O ICIEG é </w:t>
      </w:r>
      <w:r w:rsidRPr="006568A3">
        <w:rPr>
          <w:bCs/>
        </w:rPr>
        <w:t>responsável pela implementação de 11 das medidas estratégicas al</w:t>
      </w:r>
      <w:r w:rsidR="00072674">
        <w:rPr>
          <w:bCs/>
        </w:rPr>
        <w:t>é</w:t>
      </w:r>
      <w:r w:rsidRPr="006568A3">
        <w:rPr>
          <w:bCs/>
        </w:rPr>
        <w:t xml:space="preserve">m da coordenação, seguimento e avaliação do Plano. O MS </w:t>
      </w:r>
      <w:r w:rsidR="00072674">
        <w:rPr>
          <w:bCs/>
        </w:rPr>
        <w:t xml:space="preserve">tem a seu </w:t>
      </w:r>
      <w:r w:rsidRPr="006568A3">
        <w:rPr>
          <w:bCs/>
        </w:rPr>
        <w:t xml:space="preserve">cargo </w:t>
      </w:r>
      <w:r w:rsidR="00072674">
        <w:rPr>
          <w:bCs/>
        </w:rPr>
        <w:t xml:space="preserve">a implementação </w:t>
      </w:r>
      <w:r w:rsidRPr="006568A3">
        <w:rPr>
          <w:bCs/>
        </w:rPr>
        <w:t xml:space="preserve">de 14 das medidas (quase a totalidade das medidas de dois eixos: </w:t>
      </w:r>
      <w:r w:rsidR="00072674">
        <w:rPr>
          <w:bCs/>
        </w:rPr>
        <w:t>S</w:t>
      </w:r>
      <w:r w:rsidRPr="006568A3">
        <w:rPr>
          <w:bCs/>
        </w:rPr>
        <w:t xml:space="preserve">aúde e </w:t>
      </w:r>
      <w:r w:rsidR="00072674">
        <w:rPr>
          <w:bCs/>
        </w:rPr>
        <w:t>D</w:t>
      </w:r>
      <w:r w:rsidRPr="006568A3">
        <w:rPr>
          <w:bCs/>
        </w:rPr>
        <w:t>ireitos sexuais e reprodutivos), segui</w:t>
      </w:r>
      <w:r w:rsidR="00072674">
        <w:rPr>
          <w:bCs/>
        </w:rPr>
        <w:t>ndo-se-lhe</w:t>
      </w:r>
      <w:r w:rsidRPr="006568A3">
        <w:rPr>
          <w:bCs/>
        </w:rPr>
        <w:t xml:space="preserve"> o MFP com 10 medidas, A</w:t>
      </w:r>
      <w:r w:rsidR="00072674">
        <w:rPr>
          <w:bCs/>
        </w:rPr>
        <w:t>N</w:t>
      </w:r>
      <w:r w:rsidRPr="006568A3">
        <w:rPr>
          <w:bCs/>
        </w:rPr>
        <w:t xml:space="preserve"> com 8, o MJEDRH com 8, o MED com 6</w:t>
      </w:r>
      <w:r w:rsidR="00072674">
        <w:rPr>
          <w:bCs/>
        </w:rPr>
        <w:t>,</w:t>
      </w:r>
      <w:r w:rsidRPr="006568A3">
        <w:rPr>
          <w:bCs/>
        </w:rPr>
        <w:t xml:space="preserve"> o MTIDE com 4, a C</w:t>
      </w:r>
      <w:r w:rsidR="00072674">
        <w:rPr>
          <w:bCs/>
        </w:rPr>
        <w:t xml:space="preserve">hefia do </w:t>
      </w:r>
      <w:r w:rsidRPr="006568A3">
        <w:rPr>
          <w:bCs/>
        </w:rPr>
        <w:t xml:space="preserve">GOV e o MDR </w:t>
      </w:r>
      <w:r w:rsidR="00072674">
        <w:rPr>
          <w:bCs/>
        </w:rPr>
        <w:t>com</w:t>
      </w:r>
      <w:r w:rsidRPr="006568A3">
        <w:rPr>
          <w:bCs/>
        </w:rPr>
        <w:t xml:space="preserve"> 3 medidas </w:t>
      </w:r>
      <w:r w:rsidR="00072674">
        <w:rPr>
          <w:bCs/>
        </w:rPr>
        <w:t xml:space="preserve">cada, </w:t>
      </w:r>
      <w:r w:rsidRPr="006568A3">
        <w:rPr>
          <w:bCs/>
        </w:rPr>
        <w:t>e o MAHOT</w:t>
      </w:r>
      <w:r w:rsidR="00072674">
        <w:rPr>
          <w:bCs/>
        </w:rPr>
        <w:t>,</w:t>
      </w:r>
      <w:r w:rsidRPr="006568A3">
        <w:rPr>
          <w:bCs/>
        </w:rPr>
        <w:t xml:space="preserve"> o MESCI e os Órgãos de Comunicação social responsáveis </w:t>
      </w:r>
      <w:r w:rsidR="00072674">
        <w:rPr>
          <w:bCs/>
        </w:rPr>
        <w:t>pela implementação de</w:t>
      </w:r>
      <w:r w:rsidRPr="006568A3">
        <w:rPr>
          <w:bCs/>
        </w:rPr>
        <w:t xml:space="preserve"> 2 medidas estratégicas.</w:t>
      </w:r>
    </w:p>
    <w:p w:rsidR="008E6638" w:rsidRPr="00C90523" w:rsidRDefault="008E6638" w:rsidP="008E6638">
      <w:r w:rsidRPr="00C90523">
        <w:rPr>
          <w:noProof/>
        </w:rPr>
        <w:drawing>
          <wp:inline distT="0" distB="0" distL="0" distR="0">
            <wp:extent cx="5334000" cy="2952750"/>
            <wp:effectExtent l="19050" t="0" r="19050" b="0"/>
            <wp:docPr id="17"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E6638" w:rsidRPr="00C90523" w:rsidRDefault="008E6638" w:rsidP="008E6638">
      <w:pPr>
        <w:jc w:val="both"/>
      </w:pPr>
    </w:p>
    <w:p w:rsidR="008E6638" w:rsidRPr="00C90523" w:rsidRDefault="006568A3" w:rsidP="008E6638">
      <w:pPr>
        <w:jc w:val="both"/>
      </w:pPr>
      <w:r w:rsidRPr="006568A3">
        <w:t>A grande maioria destas medidas estão formuladas para contribuir aos programas sectoriais já em curso (incluídos no DECRP III). Portanto, a estimação orçamentária das mes</w:t>
      </w:r>
      <w:r w:rsidR="00072674">
        <w:t>m</w:t>
      </w:r>
      <w:r w:rsidRPr="006568A3">
        <w:t xml:space="preserve">as foi feita </w:t>
      </w:r>
      <w:r w:rsidR="00072674">
        <w:t xml:space="preserve">levando em consideração </w:t>
      </w:r>
      <w:r w:rsidRPr="006568A3">
        <w:t xml:space="preserve">os recursos que são precisos para integrar a abordagem de género nestes programas, o que </w:t>
      </w:r>
      <w:r w:rsidR="00072674">
        <w:t>implica</w:t>
      </w:r>
      <w:r w:rsidRPr="006568A3">
        <w:t xml:space="preserve"> uma orientação sobre a afetação dos fundos já existentes no quadro de despesas de médio prazo para garantir o financiamento destas medidas. Diferentemente, no caso das medidas </w:t>
      </w:r>
      <w:r w:rsidR="00072674">
        <w:t xml:space="preserve">sob a </w:t>
      </w:r>
      <w:r w:rsidRPr="006568A3">
        <w:t>responsabilidade do ICIEG, al</w:t>
      </w:r>
      <w:r w:rsidR="00072674">
        <w:t>é</w:t>
      </w:r>
      <w:r w:rsidRPr="006568A3">
        <w:t>m da coordenação, seguimento e avaliação do PNIG, trata-se de medidas pontuais promotoras de áreas inovadoras que não estão a</w:t>
      </w:r>
      <w:r w:rsidR="00072674">
        <w:t>o</w:t>
      </w:r>
      <w:r w:rsidRPr="006568A3">
        <w:t xml:space="preserve"> dia de hoje enquadradas em nenhum programa sectorial e que precisam, portanto de um reforço adicional no orçamento da instituição</w:t>
      </w:r>
      <w:r w:rsidRPr="006568A3">
        <w:rPr>
          <w:rStyle w:val="Refdenotaderodap"/>
        </w:rPr>
        <w:footnoteReference w:id="62"/>
      </w:r>
      <w:r w:rsidRPr="006568A3">
        <w:t xml:space="preserve">. </w:t>
      </w:r>
    </w:p>
    <w:p w:rsidR="008E6638" w:rsidRPr="00C90523" w:rsidRDefault="008E6638" w:rsidP="008E6638">
      <w:pPr>
        <w:jc w:val="both"/>
      </w:pPr>
      <w:r w:rsidRPr="00C90523">
        <w:rPr>
          <w:noProof/>
        </w:rPr>
        <w:drawing>
          <wp:inline distT="0" distB="0" distL="0" distR="0">
            <wp:extent cx="5404027" cy="3189768"/>
            <wp:effectExtent l="0" t="0" r="25400" b="10795"/>
            <wp:docPr id="18"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E6638" w:rsidRPr="00C90523" w:rsidRDefault="008E6638" w:rsidP="000251C1">
      <w:pPr>
        <w:spacing w:after="0"/>
        <w:jc w:val="both"/>
      </w:pPr>
    </w:p>
    <w:p w:rsidR="008E6638" w:rsidRPr="00C90523" w:rsidRDefault="006568A3" w:rsidP="008E6638">
      <w:pPr>
        <w:jc w:val="both"/>
      </w:pPr>
      <w:r w:rsidRPr="006568A3">
        <w:t>O cálculo da estimação orçamentária foi feito utilizando uma tabela de custos unitários e dividido ao longo dos anos previstos de implementação, resultando um mont</w:t>
      </w:r>
      <w:r w:rsidR="00072674">
        <w:t>ante</w:t>
      </w:r>
      <w:r w:rsidRPr="006568A3">
        <w:t xml:space="preserve"> total de 184.950 contos para os 4 anos (28,5% a ser implementado no primeiro ano</w:t>
      </w:r>
      <w:r w:rsidR="00072674">
        <w:t>;</w:t>
      </w:r>
      <w:r w:rsidRPr="006568A3">
        <w:t xml:space="preserve"> 30,</w:t>
      </w:r>
      <w:r w:rsidR="00072674">
        <w:t>4</w:t>
      </w:r>
      <w:r w:rsidRPr="006568A3">
        <w:t>% no segundo, 23,3% no terceiro e 18,</w:t>
      </w:r>
      <w:r w:rsidR="00072674">
        <w:t>1</w:t>
      </w:r>
      <w:r w:rsidRPr="006568A3">
        <w:t>% no quarto e último ano).</w:t>
      </w:r>
    </w:p>
    <w:tbl>
      <w:tblPr>
        <w:tblStyle w:val="SombreadoMdio2-Cor11"/>
        <w:tblW w:w="9065" w:type="dxa"/>
        <w:tblLook w:val="04A0" w:firstRow="1" w:lastRow="0" w:firstColumn="1" w:lastColumn="0" w:noHBand="0" w:noVBand="1"/>
      </w:tblPr>
      <w:tblGrid>
        <w:gridCol w:w="2518"/>
        <w:gridCol w:w="1338"/>
        <w:gridCol w:w="1513"/>
        <w:gridCol w:w="1244"/>
        <w:gridCol w:w="1226"/>
        <w:gridCol w:w="1226"/>
      </w:tblGrid>
      <w:tr w:rsidR="008E6638" w:rsidRPr="00C90523" w:rsidTr="00E56BF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518" w:type="dxa"/>
            <w:noWrap/>
            <w:hideMark/>
          </w:tcPr>
          <w:p w:rsidR="008E6638" w:rsidRPr="00072674" w:rsidRDefault="008E6638" w:rsidP="00E56BF0">
            <w:pPr>
              <w:rPr>
                <w:rFonts w:ascii="Calibri" w:eastAsia="Times New Roman" w:hAnsi="Calibri" w:cs="Times New Roman"/>
                <w:color w:val="000000"/>
                <w:lang w:val="pt-PT" w:eastAsia="es-ES"/>
              </w:rPr>
            </w:pPr>
          </w:p>
        </w:tc>
        <w:tc>
          <w:tcPr>
            <w:tcW w:w="1338" w:type="dxa"/>
            <w:noWrap/>
            <w:hideMark/>
          </w:tcPr>
          <w:p w:rsidR="008E6638" w:rsidRPr="00072674" w:rsidRDefault="008E6638" w:rsidP="00E56BF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TOTAL</w:t>
            </w:r>
          </w:p>
        </w:tc>
        <w:tc>
          <w:tcPr>
            <w:tcW w:w="1513" w:type="dxa"/>
            <w:noWrap/>
            <w:hideMark/>
          </w:tcPr>
          <w:p w:rsidR="008E6638" w:rsidRPr="00072674" w:rsidRDefault="008E6638" w:rsidP="00E56BF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2005</w:t>
            </w:r>
          </w:p>
        </w:tc>
        <w:tc>
          <w:tcPr>
            <w:tcW w:w="1244" w:type="dxa"/>
            <w:noWrap/>
            <w:hideMark/>
          </w:tcPr>
          <w:p w:rsidR="008E6638" w:rsidRPr="00072674" w:rsidRDefault="008E6638" w:rsidP="00E56BF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2016</w:t>
            </w:r>
          </w:p>
        </w:tc>
        <w:tc>
          <w:tcPr>
            <w:tcW w:w="1226" w:type="dxa"/>
            <w:noWrap/>
            <w:hideMark/>
          </w:tcPr>
          <w:p w:rsidR="008E6638" w:rsidRPr="00072674" w:rsidRDefault="008E6638" w:rsidP="00E56BF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2017</w:t>
            </w:r>
          </w:p>
        </w:tc>
        <w:tc>
          <w:tcPr>
            <w:tcW w:w="1226" w:type="dxa"/>
            <w:noWrap/>
            <w:hideMark/>
          </w:tcPr>
          <w:p w:rsidR="008E6638" w:rsidRPr="00072674" w:rsidRDefault="008E6638" w:rsidP="00E56BF0">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2018</w:t>
            </w:r>
          </w:p>
        </w:tc>
      </w:tr>
      <w:tr w:rsidR="008E6638" w:rsidRPr="00C90523" w:rsidTr="00E56BF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C90523">
              <w:rPr>
                <w:rFonts w:ascii="Calibri" w:eastAsia="Times New Roman" w:hAnsi="Calibri" w:cs="Times New Roman"/>
                <w:lang w:eastAsia="es-ES"/>
              </w:rPr>
              <w:t>Saúde</w:t>
            </w:r>
          </w:p>
        </w:tc>
        <w:tc>
          <w:tcPr>
            <w:tcW w:w="1338"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7.726.000</w:t>
            </w:r>
          </w:p>
        </w:tc>
        <w:tc>
          <w:tcPr>
            <w:tcW w:w="1513"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3.165.000</w:t>
            </w:r>
          </w:p>
        </w:tc>
        <w:tc>
          <w:tcPr>
            <w:tcW w:w="1244"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1.556.000</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3.005.000</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0</w:t>
            </w:r>
          </w:p>
        </w:tc>
      </w:tr>
      <w:tr w:rsidR="008E6638" w:rsidRPr="00C90523" w:rsidTr="00E56BF0">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C90523">
              <w:rPr>
                <w:rFonts w:ascii="Calibri" w:eastAsia="Times New Roman" w:hAnsi="Calibri" w:cs="Times New Roman"/>
                <w:lang w:eastAsia="es-ES"/>
              </w:rPr>
              <w:t>DSR</w:t>
            </w:r>
          </w:p>
        </w:tc>
        <w:tc>
          <w:tcPr>
            <w:tcW w:w="1338"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17.273.000</w:t>
            </w:r>
          </w:p>
        </w:tc>
        <w:tc>
          <w:tcPr>
            <w:tcW w:w="1513"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2.180.000</w:t>
            </w:r>
          </w:p>
        </w:tc>
        <w:tc>
          <w:tcPr>
            <w:tcW w:w="1244"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8.241.000</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3.426.000</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3.426.000</w:t>
            </w:r>
          </w:p>
        </w:tc>
      </w:tr>
      <w:tr w:rsidR="008E6638" w:rsidRPr="00C90523" w:rsidTr="00E56BF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C90523">
              <w:rPr>
                <w:rFonts w:ascii="Calibri" w:eastAsia="Times New Roman" w:hAnsi="Calibri" w:cs="Times New Roman"/>
                <w:lang w:eastAsia="es-ES"/>
              </w:rPr>
              <w:t>Educação</w:t>
            </w:r>
          </w:p>
        </w:tc>
        <w:tc>
          <w:tcPr>
            <w:tcW w:w="1338"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4.604.000</w:t>
            </w:r>
          </w:p>
        </w:tc>
        <w:tc>
          <w:tcPr>
            <w:tcW w:w="1513"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1.556.000</w:t>
            </w:r>
          </w:p>
        </w:tc>
        <w:tc>
          <w:tcPr>
            <w:tcW w:w="1244"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1.626.000</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1.026.000</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396.000</w:t>
            </w:r>
          </w:p>
        </w:tc>
      </w:tr>
      <w:tr w:rsidR="008E6638" w:rsidRPr="00C90523" w:rsidTr="00E56BF0">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C90523">
              <w:rPr>
                <w:rFonts w:ascii="Calibri" w:eastAsia="Times New Roman" w:hAnsi="Calibri" w:cs="Times New Roman"/>
                <w:lang w:eastAsia="es-ES"/>
              </w:rPr>
              <w:t>Economia Produtiva</w:t>
            </w:r>
          </w:p>
        </w:tc>
        <w:tc>
          <w:tcPr>
            <w:tcW w:w="1338"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26.533.000</w:t>
            </w:r>
          </w:p>
        </w:tc>
        <w:tc>
          <w:tcPr>
            <w:tcW w:w="1513"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11.719.000</w:t>
            </w:r>
          </w:p>
        </w:tc>
        <w:tc>
          <w:tcPr>
            <w:tcW w:w="1244"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8.768.000</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2.728.000</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3.318.000</w:t>
            </w:r>
          </w:p>
        </w:tc>
      </w:tr>
      <w:tr w:rsidR="008E6638" w:rsidRPr="00C90523" w:rsidTr="00E56BF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C90523">
              <w:rPr>
                <w:rFonts w:ascii="Calibri" w:eastAsia="Times New Roman" w:hAnsi="Calibri" w:cs="Times New Roman"/>
                <w:lang w:eastAsia="es-ES"/>
              </w:rPr>
              <w:t>Economia Reprodutiva</w:t>
            </w:r>
          </w:p>
        </w:tc>
        <w:tc>
          <w:tcPr>
            <w:tcW w:w="1338"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19.492.000</w:t>
            </w:r>
          </w:p>
        </w:tc>
        <w:tc>
          <w:tcPr>
            <w:tcW w:w="1513"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5.008.000</w:t>
            </w:r>
          </w:p>
        </w:tc>
        <w:tc>
          <w:tcPr>
            <w:tcW w:w="1244"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6.901.000</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5.277.000</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2.306.000</w:t>
            </w:r>
          </w:p>
        </w:tc>
      </w:tr>
      <w:tr w:rsidR="008E6638" w:rsidRPr="00C90523" w:rsidTr="00E56BF0">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072674">
              <w:rPr>
                <w:rFonts w:ascii="Calibri" w:eastAsia="Times New Roman" w:hAnsi="Calibri" w:cs="Times New Roman"/>
                <w:lang w:val="pt-PT" w:eastAsia="es-ES"/>
              </w:rPr>
              <w:t>Participação na tomada de decisões</w:t>
            </w:r>
          </w:p>
        </w:tc>
        <w:tc>
          <w:tcPr>
            <w:tcW w:w="1338"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5.246.000</w:t>
            </w:r>
          </w:p>
        </w:tc>
        <w:tc>
          <w:tcPr>
            <w:tcW w:w="1513"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2.052.000</w:t>
            </w:r>
          </w:p>
        </w:tc>
        <w:tc>
          <w:tcPr>
            <w:tcW w:w="1244"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2.041.000</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1.153.000</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0</w:t>
            </w:r>
          </w:p>
        </w:tc>
      </w:tr>
      <w:tr w:rsidR="008E6638" w:rsidRPr="00C90523" w:rsidTr="00E56BF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072674">
              <w:rPr>
                <w:rFonts w:ascii="Calibri" w:eastAsia="Times New Roman" w:hAnsi="Calibri" w:cs="Times New Roman"/>
                <w:lang w:val="pt-PT" w:eastAsia="es-ES"/>
              </w:rPr>
              <w:t>Reforço Institucional para abordagem de género</w:t>
            </w:r>
          </w:p>
        </w:tc>
        <w:tc>
          <w:tcPr>
            <w:tcW w:w="1338"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104.076.601</w:t>
            </w:r>
          </w:p>
        </w:tc>
        <w:tc>
          <w:tcPr>
            <w:tcW w:w="1513"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26.561.534</w:t>
            </w:r>
          </w:p>
        </w:tc>
        <w:tc>
          <w:tcPr>
            <w:tcW w:w="1244"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27.022.689</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26.498.689</w:t>
            </w:r>
          </w:p>
        </w:tc>
        <w:tc>
          <w:tcPr>
            <w:tcW w:w="1226" w:type="dxa"/>
            <w:noWrap/>
            <w:vAlign w:val="bottom"/>
            <w:hideMark/>
          </w:tcPr>
          <w:p w:rsidR="008E6638" w:rsidRPr="00072674" w:rsidRDefault="008E6638" w:rsidP="00E56B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pt-PT" w:eastAsia="es-ES"/>
              </w:rPr>
            </w:pPr>
            <w:r w:rsidRPr="00C90523">
              <w:rPr>
                <w:rFonts w:ascii="Calibri" w:eastAsia="Times New Roman" w:hAnsi="Calibri" w:cs="Times New Roman"/>
                <w:color w:val="000000"/>
                <w:lang w:eastAsia="es-ES"/>
              </w:rPr>
              <w:t>23.993.689</w:t>
            </w:r>
          </w:p>
        </w:tc>
      </w:tr>
      <w:tr w:rsidR="008E6638" w:rsidRPr="00C90523" w:rsidTr="00E56BF0">
        <w:trPr>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8E6638" w:rsidRPr="00072674" w:rsidRDefault="008E6638" w:rsidP="00E56BF0">
            <w:pPr>
              <w:rPr>
                <w:rFonts w:ascii="Calibri" w:eastAsia="Times New Roman" w:hAnsi="Calibri" w:cs="Times New Roman"/>
                <w:lang w:val="pt-PT" w:eastAsia="es-ES"/>
              </w:rPr>
            </w:pPr>
            <w:r w:rsidRPr="00C90523">
              <w:rPr>
                <w:rFonts w:ascii="Calibri" w:eastAsia="Times New Roman" w:hAnsi="Calibri" w:cs="Times New Roman"/>
                <w:lang w:eastAsia="es-ES"/>
              </w:rPr>
              <w:t>TOTAL</w:t>
            </w:r>
          </w:p>
        </w:tc>
        <w:tc>
          <w:tcPr>
            <w:tcW w:w="1338"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184.950.601</w:t>
            </w:r>
          </w:p>
          <w:p w:rsidR="00272897" w:rsidRPr="00072674" w:rsidRDefault="00272897" w:rsidP="0007267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100%</w:t>
            </w:r>
          </w:p>
        </w:tc>
        <w:tc>
          <w:tcPr>
            <w:tcW w:w="1513"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52.241.534</w:t>
            </w:r>
          </w:p>
          <w:p w:rsidR="00272897" w:rsidRPr="00072674" w:rsidRDefault="00272897" w:rsidP="0007267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28,5%</w:t>
            </w:r>
          </w:p>
        </w:tc>
        <w:tc>
          <w:tcPr>
            <w:tcW w:w="1244"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56.155.689</w:t>
            </w:r>
          </w:p>
          <w:p w:rsidR="00272897" w:rsidRPr="00072674" w:rsidRDefault="00272897" w:rsidP="0007267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30,</w:t>
            </w:r>
            <w:r w:rsidR="00072674">
              <w:rPr>
                <w:rFonts w:ascii="Calibri" w:eastAsia="Times New Roman" w:hAnsi="Calibri" w:cs="Times New Roman"/>
                <w:b/>
                <w:bCs/>
                <w:color w:val="000000"/>
                <w:lang w:eastAsia="es-ES"/>
              </w:rPr>
              <w:t>4</w:t>
            </w:r>
            <w:r w:rsidRPr="00C90523">
              <w:rPr>
                <w:rFonts w:ascii="Calibri" w:eastAsia="Times New Roman" w:hAnsi="Calibri" w:cs="Times New Roman"/>
                <w:b/>
                <w:bCs/>
                <w:color w:val="000000"/>
                <w:lang w:eastAsia="es-ES"/>
              </w:rPr>
              <w:t>%</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43.113.689</w:t>
            </w:r>
          </w:p>
          <w:p w:rsidR="00272897" w:rsidRPr="00072674" w:rsidRDefault="00272897" w:rsidP="0007267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23,3%</w:t>
            </w:r>
          </w:p>
        </w:tc>
        <w:tc>
          <w:tcPr>
            <w:tcW w:w="1226" w:type="dxa"/>
            <w:noWrap/>
            <w:vAlign w:val="bottom"/>
            <w:hideMark/>
          </w:tcPr>
          <w:p w:rsidR="008E6638" w:rsidRPr="00072674" w:rsidRDefault="008E6638" w:rsidP="00E56B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33.439.689</w:t>
            </w:r>
          </w:p>
          <w:p w:rsidR="00272897" w:rsidRPr="00072674" w:rsidRDefault="00272897" w:rsidP="0007267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val="pt-PT" w:eastAsia="es-ES"/>
              </w:rPr>
            </w:pPr>
            <w:r w:rsidRPr="00C90523">
              <w:rPr>
                <w:rFonts w:ascii="Calibri" w:eastAsia="Times New Roman" w:hAnsi="Calibri" w:cs="Times New Roman"/>
                <w:b/>
                <w:bCs/>
                <w:color w:val="000000"/>
                <w:lang w:eastAsia="es-ES"/>
              </w:rPr>
              <w:t>18,</w:t>
            </w:r>
            <w:r w:rsidR="00072674">
              <w:rPr>
                <w:rFonts w:ascii="Calibri" w:eastAsia="Times New Roman" w:hAnsi="Calibri" w:cs="Times New Roman"/>
                <w:b/>
                <w:bCs/>
                <w:color w:val="000000"/>
                <w:lang w:eastAsia="es-ES"/>
              </w:rPr>
              <w:t>1</w:t>
            </w:r>
            <w:r w:rsidRPr="00C90523">
              <w:rPr>
                <w:rFonts w:ascii="Calibri" w:eastAsia="Times New Roman" w:hAnsi="Calibri" w:cs="Times New Roman"/>
                <w:b/>
                <w:bCs/>
                <w:color w:val="000000"/>
                <w:lang w:eastAsia="es-ES"/>
              </w:rPr>
              <w:t>%</w:t>
            </w:r>
          </w:p>
        </w:tc>
      </w:tr>
    </w:tbl>
    <w:p w:rsidR="008E6638" w:rsidRPr="00C90523" w:rsidRDefault="008E6638" w:rsidP="008E6638">
      <w:pPr>
        <w:spacing w:after="0"/>
        <w:jc w:val="both"/>
      </w:pPr>
    </w:p>
    <w:p w:rsidR="000251C1" w:rsidRPr="00C90523" w:rsidRDefault="006568A3" w:rsidP="008E6638">
      <w:pPr>
        <w:jc w:val="both"/>
        <w:rPr>
          <w:noProof/>
          <w:lang w:eastAsia="es-ES"/>
        </w:rPr>
      </w:pPr>
      <w:r w:rsidRPr="006568A3">
        <w:t xml:space="preserve">Para cada uma das medidas foram igualmente identificadas as fontes potenciais de financiamento tomando em conta os próprios programas </w:t>
      </w:r>
      <w:r w:rsidRPr="006568A3">
        <w:rPr>
          <w:bCs/>
        </w:rPr>
        <w:t>do DECRP III, al</w:t>
      </w:r>
      <w:r w:rsidR="00072674">
        <w:rPr>
          <w:bCs/>
        </w:rPr>
        <w:t>é</w:t>
      </w:r>
      <w:r w:rsidRPr="006568A3">
        <w:rPr>
          <w:bCs/>
        </w:rPr>
        <w:t xml:space="preserve">m de áreas de interesse dos parceiros internacionais. Neste sentido, esta previsto que 66% dos fundos possa ser financiado </w:t>
      </w:r>
      <w:r w:rsidR="00072674">
        <w:rPr>
          <w:bCs/>
        </w:rPr>
        <w:t>no</w:t>
      </w:r>
      <w:r w:rsidRPr="006568A3">
        <w:rPr>
          <w:bCs/>
        </w:rPr>
        <w:t xml:space="preserve"> quadro de Despesas de Médio Prazo e 34% seja aportado pelos parceiros </w:t>
      </w:r>
      <w:r w:rsidR="00072674">
        <w:rPr>
          <w:bCs/>
        </w:rPr>
        <w:t>i</w:t>
      </w:r>
      <w:r w:rsidRPr="006568A3">
        <w:rPr>
          <w:bCs/>
        </w:rPr>
        <w:t>nternacionais.</w:t>
      </w:r>
      <w:r w:rsidRPr="006568A3">
        <w:rPr>
          <w:noProof/>
          <w:lang w:eastAsia="es-ES"/>
        </w:rPr>
        <w:t xml:space="preserve"> No momento da conclus</w:t>
      </w:r>
      <w:r w:rsidR="00072674">
        <w:rPr>
          <w:noProof/>
          <w:lang w:eastAsia="es-ES"/>
        </w:rPr>
        <w:t>ã</w:t>
      </w:r>
      <w:r w:rsidRPr="006568A3">
        <w:rPr>
          <w:noProof/>
          <w:lang w:eastAsia="es-ES"/>
        </w:rPr>
        <w:t>o do proces</w:t>
      </w:r>
      <w:r w:rsidR="00072674">
        <w:rPr>
          <w:noProof/>
          <w:lang w:eastAsia="es-ES"/>
        </w:rPr>
        <w:t>s</w:t>
      </w:r>
      <w:r w:rsidRPr="006568A3">
        <w:rPr>
          <w:noProof/>
          <w:lang w:eastAsia="es-ES"/>
        </w:rPr>
        <w:t>o de formulaç</w:t>
      </w:r>
      <w:r w:rsidR="00072674">
        <w:rPr>
          <w:noProof/>
          <w:lang w:eastAsia="es-ES"/>
        </w:rPr>
        <w:t>ã</w:t>
      </w:r>
      <w:r w:rsidRPr="006568A3">
        <w:rPr>
          <w:noProof/>
          <w:lang w:eastAsia="es-ES"/>
        </w:rPr>
        <w:t>o do PNIG (De</w:t>
      </w:r>
      <w:r w:rsidR="00072674">
        <w:rPr>
          <w:noProof/>
          <w:lang w:eastAsia="es-ES"/>
        </w:rPr>
        <w:t>z</w:t>
      </w:r>
      <w:r w:rsidRPr="006568A3">
        <w:rPr>
          <w:noProof/>
          <w:lang w:eastAsia="es-ES"/>
        </w:rPr>
        <w:t>embro 2014) 15% dos recursos est</w:t>
      </w:r>
      <w:r w:rsidR="00072674">
        <w:rPr>
          <w:noProof/>
          <w:lang w:eastAsia="es-ES"/>
        </w:rPr>
        <w:t>ã</w:t>
      </w:r>
      <w:r w:rsidRPr="006568A3">
        <w:rPr>
          <w:noProof/>
          <w:lang w:eastAsia="es-ES"/>
        </w:rPr>
        <w:t>o garantidos (10% do estado</w:t>
      </w:r>
      <w:r w:rsidR="00072674">
        <w:rPr>
          <w:noProof/>
          <w:lang w:eastAsia="es-ES"/>
        </w:rPr>
        <w:t xml:space="preserve"> e</w:t>
      </w:r>
      <w:r w:rsidRPr="006568A3">
        <w:rPr>
          <w:noProof/>
          <w:lang w:eastAsia="es-ES"/>
        </w:rPr>
        <w:t xml:space="preserve"> 5% dos parceiros internacionais) sendo o restante 85% fundos a conseguir: 56% através da alocaç</w:t>
      </w:r>
      <w:r w:rsidR="00072674">
        <w:rPr>
          <w:noProof/>
          <w:lang w:eastAsia="es-ES"/>
        </w:rPr>
        <w:t>ã</w:t>
      </w:r>
      <w:r w:rsidRPr="006568A3">
        <w:rPr>
          <w:noProof/>
          <w:lang w:eastAsia="es-ES"/>
        </w:rPr>
        <w:t xml:space="preserve">o de recursos do quadro de despesas a médio prazo (mas que devem ser explicitados nos orçamentos das respectivas entidades como recursos para </w:t>
      </w:r>
      <w:r w:rsidR="00072674">
        <w:rPr>
          <w:noProof/>
          <w:lang w:eastAsia="es-ES"/>
        </w:rPr>
        <w:t>a</w:t>
      </w:r>
      <w:r w:rsidRPr="006568A3">
        <w:rPr>
          <w:noProof/>
          <w:lang w:eastAsia="es-ES"/>
        </w:rPr>
        <w:t xml:space="preserve"> implementa</w:t>
      </w:r>
      <w:r w:rsidR="00072674">
        <w:rPr>
          <w:noProof/>
          <w:lang w:eastAsia="es-ES"/>
        </w:rPr>
        <w:t>çã</w:t>
      </w:r>
      <w:r w:rsidRPr="006568A3">
        <w:rPr>
          <w:noProof/>
          <w:lang w:eastAsia="es-ES"/>
        </w:rPr>
        <w:t>o das medidas do PNIG) e 29% a conseguir através dos parceiros internacionais</w:t>
      </w:r>
    </w:p>
    <w:p w:rsidR="006975C5" w:rsidRPr="00C90523" w:rsidRDefault="006975C5" w:rsidP="008E6638">
      <w:pPr>
        <w:jc w:val="both"/>
        <w:rPr>
          <w:noProof/>
          <w:lang w:eastAsia="es-ES"/>
        </w:rPr>
        <w:sectPr w:rsidR="006975C5" w:rsidRPr="00C90523" w:rsidSect="008E6638">
          <w:pgSz w:w="11906" w:h="17338"/>
          <w:pgMar w:top="1417" w:right="1701" w:bottom="1417" w:left="1701" w:header="720" w:footer="720" w:gutter="0"/>
          <w:cols w:space="720"/>
          <w:noEndnote/>
          <w:docGrid w:linePitch="299"/>
        </w:sectPr>
      </w:pPr>
    </w:p>
    <w:p w:rsidR="00E56BF0" w:rsidRPr="00C90523" w:rsidRDefault="006975C5" w:rsidP="00FF42C4">
      <w:pPr>
        <w:spacing w:after="0"/>
        <w:jc w:val="both"/>
        <w:rPr>
          <w:bCs/>
        </w:rPr>
      </w:pPr>
      <w:r w:rsidRPr="00C90523">
        <w:rPr>
          <w:noProof/>
        </w:rPr>
        <w:drawing>
          <wp:anchor distT="0" distB="0" distL="114300" distR="114300" simplePos="0" relativeHeight="251664384" behindDoc="0" locked="0" layoutInCell="1" allowOverlap="1">
            <wp:simplePos x="0" y="0"/>
            <wp:positionH relativeFrom="column">
              <wp:posOffset>-119380</wp:posOffset>
            </wp:positionH>
            <wp:positionV relativeFrom="paragraph">
              <wp:posOffset>-85090</wp:posOffset>
            </wp:positionV>
            <wp:extent cx="3207385" cy="2755265"/>
            <wp:effectExtent l="19050" t="0" r="12065" b="6985"/>
            <wp:wrapSquare wrapText="bothSides"/>
            <wp:docPr id="20"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00F54E8A">
        <w:rPr>
          <w:noProof/>
        </w:rPr>
        <w:drawing>
          <wp:anchor distT="0" distB="0" distL="114300" distR="114300" simplePos="0" relativeHeight="251665408" behindDoc="0" locked="0" layoutInCell="1" allowOverlap="1">
            <wp:simplePos x="0" y="0"/>
            <wp:positionH relativeFrom="column">
              <wp:posOffset>3463925</wp:posOffset>
            </wp:positionH>
            <wp:positionV relativeFrom="paragraph">
              <wp:posOffset>-10795</wp:posOffset>
            </wp:positionV>
            <wp:extent cx="3208020" cy="2785110"/>
            <wp:effectExtent l="19050" t="0" r="11430" b="0"/>
            <wp:wrapSquare wrapText="bothSides"/>
            <wp:docPr id="19"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p w:rsidR="006975C5" w:rsidRPr="00C90523" w:rsidRDefault="006975C5" w:rsidP="008E6638">
      <w:pPr>
        <w:jc w:val="both"/>
        <w:rPr>
          <w:bCs/>
        </w:rPr>
      </w:pPr>
    </w:p>
    <w:p w:rsidR="006975C5" w:rsidRPr="00C90523" w:rsidRDefault="006568A3" w:rsidP="008E6638">
      <w:pPr>
        <w:jc w:val="both"/>
        <w:rPr>
          <w:bCs/>
        </w:rPr>
      </w:pPr>
      <w:r w:rsidRPr="006568A3">
        <w:rPr>
          <w:bCs/>
        </w:rPr>
        <w:t>A seguir encontra-se o detalhe de cada um</w:t>
      </w:r>
      <w:r w:rsidR="00072674">
        <w:rPr>
          <w:bCs/>
        </w:rPr>
        <w:t>a</w:t>
      </w:r>
      <w:r w:rsidRPr="006568A3">
        <w:rPr>
          <w:bCs/>
        </w:rPr>
        <w:t xml:space="preserve"> das medidas e </w:t>
      </w:r>
      <w:r w:rsidR="00072674">
        <w:rPr>
          <w:bCs/>
        </w:rPr>
        <w:t xml:space="preserve">a </w:t>
      </w:r>
      <w:r w:rsidRPr="006568A3">
        <w:rPr>
          <w:bCs/>
        </w:rPr>
        <w:t>sua estima</w:t>
      </w:r>
      <w:r w:rsidR="00072674">
        <w:rPr>
          <w:bCs/>
        </w:rPr>
        <w:t>tiva</w:t>
      </w:r>
      <w:r w:rsidRPr="006568A3">
        <w:rPr>
          <w:bCs/>
        </w:rPr>
        <w:t xml:space="preserve"> orçament</w:t>
      </w:r>
      <w:r w:rsidR="00072674">
        <w:rPr>
          <w:bCs/>
        </w:rPr>
        <w:t>al</w:t>
      </w:r>
      <w:r w:rsidRPr="006568A3">
        <w:rPr>
          <w:bCs/>
        </w:rPr>
        <w:t xml:space="preserve">. </w:t>
      </w:r>
    </w:p>
    <w:p w:rsidR="008E6638" w:rsidRPr="00C90523" w:rsidRDefault="006568A3" w:rsidP="008E6638">
      <w:pPr>
        <w:jc w:val="both"/>
        <w:rPr>
          <w:bCs/>
        </w:rPr>
      </w:pPr>
      <w:r w:rsidRPr="006568A3">
        <w:rPr>
          <w:bCs/>
        </w:rPr>
        <w:t xml:space="preserve"> </w:t>
      </w:r>
    </w:p>
    <w:tbl>
      <w:tblPr>
        <w:tblW w:w="11341" w:type="dxa"/>
        <w:tblInd w:w="-214" w:type="dxa"/>
        <w:tblLayout w:type="fixed"/>
        <w:tblCellMar>
          <w:left w:w="70" w:type="dxa"/>
          <w:right w:w="70" w:type="dxa"/>
        </w:tblCellMar>
        <w:tblLook w:val="04A0" w:firstRow="1" w:lastRow="0" w:firstColumn="1" w:lastColumn="0" w:noHBand="0" w:noVBand="1"/>
      </w:tblPr>
      <w:tblGrid>
        <w:gridCol w:w="595"/>
        <w:gridCol w:w="3061"/>
        <w:gridCol w:w="1022"/>
        <w:gridCol w:w="1134"/>
        <w:gridCol w:w="1843"/>
        <w:gridCol w:w="1276"/>
        <w:gridCol w:w="2410"/>
      </w:tblGrid>
      <w:tr w:rsidR="00E56BF0" w:rsidRPr="00C90523" w:rsidTr="00FF42C4">
        <w:trPr>
          <w:trHeight w:val="423"/>
          <w:tblHeader/>
        </w:trPr>
        <w:tc>
          <w:tcPr>
            <w:tcW w:w="3656" w:type="dxa"/>
            <w:gridSpan w:val="2"/>
            <w:tcBorders>
              <w:top w:val="single" w:sz="4" w:space="0" w:color="auto"/>
              <w:left w:val="single" w:sz="4" w:space="0" w:color="auto"/>
              <w:bottom w:val="single" w:sz="4" w:space="0" w:color="auto"/>
              <w:right w:val="single" w:sz="4" w:space="0" w:color="auto"/>
            </w:tcBorders>
            <w:shd w:val="clear" w:color="000000" w:fill="4F81BD"/>
            <w:hideMark/>
          </w:tcPr>
          <w:p w:rsidR="00E56BF0" w:rsidRPr="00C90523" w:rsidRDefault="006568A3" w:rsidP="00E56BF0">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Medidas estratégicas</w:t>
            </w:r>
          </w:p>
        </w:tc>
        <w:tc>
          <w:tcPr>
            <w:tcW w:w="1022" w:type="dxa"/>
            <w:tcBorders>
              <w:top w:val="single" w:sz="4" w:space="0" w:color="auto"/>
              <w:left w:val="single" w:sz="4" w:space="0" w:color="auto"/>
              <w:bottom w:val="single" w:sz="4" w:space="0" w:color="auto"/>
              <w:right w:val="single" w:sz="4" w:space="0" w:color="auto"/>
            </w:tcBorders>
            <w:shd w:val="clear" w:color="000000" w:fill="4F81BD"/>
            <w:hideMark/>
          </w:tcPr>
          <w:p w:rsidR="00E56BF0" w:rsidRPr="00C90523" w:rsidRDefault="006568A3" w:rsidP="00E56BF0">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Período </w:t>
            </w:r>
          </w:p>
        </w:tc>
        <w:tc>
          <w:tcPr>
            <w:tcW w:w="1134" w:type="dxa"/>
            <w:tcBorders>
              <w:top w:val="single" w:sz="4" w:space="0" w:color="auto"/>
              <w:left w:val="single" w:sz="4" w:space="0" w:color="auto"/>
              <w:bottom w:val="single" w:sz="4" w:space="0" w:color="auto"/>
              <w:right w:val="single" w:sz="4" w:space="0" w:color="auto"/>
            </w:tcBorders>
            <w:shd w:val="clear" w:color="000000" w:fill="4F81BD"/>
            <w:hideMark/>
          </w:tcPr>
          <w:p w:rsidR="00E56BF0" w:rsidRPr="00C90523" w:rsidRDefault="006568A3" w:rsidP="00E56BF0">
            <w:pPr>
              <w:spacing w:after="0" w:line="240" w:lineRule="auto"/>
              <w:rPr>
                <w:rFonts w:ascii="Calibri" w:eastAsia="Times New Roman" w:hAnsi="Calibri" w:cs="Times New Roman"/>
                <w:b/>
                <w:bCs/>
                <w:color w:val="FFFFFF"/>
                <w:sz w:val="20"/>
                <w:szCs w:val="20"/>
                <w:lang w:eastAsia="es-ES"/>
              </w:rPr>
            </w:pPr>
            <w:r w:rsidRPr="006568A3">
              <w:rPr>
                <w:rFonts w:ascii="Calibri" w:eastAsia="Times New Roman" w:hAnsi="Calibri" w:cs="Times New Roman"/>
                <w:b/>
                <w:bCs/>
                <w:color w:val="FFFFFF"/>
                <w:sz w:val="20"/>
                <w:szCs w:val="20"/>
                <w:lang w:eastAsia="es-ES"/>
              </w:rPr>
              <w:t xml:space="preserve">Entidade </w:t>
            </w:r>
            <w:r w:rsidR="00E56BF0" w:rsidRPr="00C90523">
              <w:rPr>
                <w:rFonts w:ascii="Calibri" w:eastAsia="Times New Roman" w:hAnsi="Calibri" w:cs="Times New Roman"/>
                <w:b/>
                <w:bCs/>
                <w:color w:val="FFFFFF"/>
                <w:sz w:val="20"/>
                <w:szCs w:val="20"/>
                <w:lang w:eastAsia="es-ES"/>
              </w:rPr>
              <w:t>respons.</w:t>
            </w:r>
          </w:p>
        </w:tc>
        <w:tc>
          <w:tcPr>
            <w:tcW w:w="1843" w:type="dxa"/>
            <w:tcBorders>
              <w:top w:val="single" w:sz="4" w:space="0" w:color="auto"/>
              <w:left w:val="single" w:sz="4" w:space="0" w:color="auto"/>
              <w:bottom w:val="single" w:sz="4" w:space="0" w:color="auto"/>
              <w:right w:val="single" w:sz="4" w:space="0" w:color="auto"/>
            </w:tcBorders>
            <w:shd w:val="clear" w:color="000000" w:fill="4F81BD"/>
            <w:hideMark/>
          </w:tcPr>
          <w:p w:rsidR="00E56BF0" w:rsidRPr="00861276" w:rsidRDefault="00E56BF0" w:rsidP="00E56BF0">
            <w:pPr>
              <w:spacing w:after="0" w:line="240" w:lineRule="auto"/>
              <w:rPr>
                <w:rFonts w:ascii="Calibri" w:eastAsia="Times New Roman" w:hAnsi="Calibri" w:cs="Times New Roman"/>
                <w:b/>
                <w:bCs/>
                <w:color w:val="FFFFFF"/>
                <w:sz w:val="20"/>
                <w:szCs w:val="20"/>
                <w:lang w:eastAsia="es-ES"/>
              </w:rPr>
            </w:pPr>
            <w:r w:rsidRPr="00861276">
              <w:rPr>
                <w:rFonts w:ascii="Calibri" w:eastAsia="Times New Roman" w:hAnsi="Calibri" w:cs="Times New Roman"/>
                <w:b/>
                <w:bCs/>
                <w:color w:val="FFFFFF"/>
                <w:sz w:val="20"/>
                <w:szCs w:val="20"/>
                <w:lang w:eastAsia="es-ES"/>
              </w:rPr>
              <w:t>Rúbrica orçamentarias</w:t>
            </w:r>
          </w:p>
        </w:tc>
        <w:tc>
          <w:tcPr>
            <w:tcW w:w="1276" w:type="dxa"/>
            <w:tcBorders>
              <w:top w:val="single" w:sz="4" w:space="0" w:color="auto"/>
              <w:left w:val="single" w:sz="4" w:space="0" w:color="auto"/>
              <w:bottom w:val="single" w:sz="4" w:space="0" w:color="auto"/>
              <w:right w:val="single" w:sz="4" w:space="0" w:color="auto"/>
            </w:tcBorders>
            <w:shd w:val="clear" w:color="000000" w:fill="4F81BD"/>
            <w:hideMark/>
          </w:tcPr>
          <w:p w:rsidR="00E56BF0" w:rsidRPr="00C90523" w:rsidRDefault="00E56BF0" w:rsidP="00E56BF0">
            <w:pPr>
              <w:spacing w:after="0" w:line="240" w:lineRule="auto"/>
              <w:rPr>
                <w:rFonts w:ascii="Calibri" w:eastAsia="Times New Roman" w:hAnsi="Calibri" w:cs="Times New Roman"/>
                <w:b/>
                <w:bCs/>
                <w:color w:val="FFFFFF"/>
                <w:sz w:val="20"/>
                <w:szCs w:val="20"/>
                <w:lang w:eastAsia="es-ES"/>
              </w:rPr>
            </w:pPr>
            <w:r w:rsidRPr="00C90523">
              <w:rPr>
                <w:rFonts w:ascii="Calibri" w:eastAsia="Times New Roman" w:hAnsi="Calibri" w:cs="Times New Roman"/>
                <w:b/>
                <w:bCs/>
                <w:color w:val="FFFFFF"/>
                <w:sz w:val="20"/>
                <w:szCs w:val="20"/>
                <w:lang w:eastAsia="es-ES"/>
              </w:rPr>
              <w:t>Total</w:t>
            </w:r>
          </w:p>
        </w:tc>
        <w:tc>
          <w:tcPr>
            <w:tcW w:w="2410" w:type="dxa"/>
            <w:tcBorders>
              <w:top w:val="single" w:sz="4" w:space="0" w:color="auto"/>
              <w:left w:val="single" w:sz="4" w:space="0" w:color="auto"/>
              <w:bottom w:val="single" w:sz="4" w:space="0" w:color="auto"/>
              <w:right w:val="single" w:sz="4" w:space="0" w:color="auto"/>
            </w:tcBorders>
            <w:shd w:val="clear" w:color="000000" w:fill="4F81BD"/>
            <w:hideMark/>
          </w:tcPr>
          <w:p w:rsidR="00E56BF0" w:rsidRPr="00C90523" w:rsidRDefault="00E56BF0" w:rsidP="00E56BF0">
            <w:pPr>
              <w:spacing w:after="0" w:line="240" w:lineRule="auto"/>
              <w:rPr>
                <w:rFonts w:ascii="Calibri" w:eastAsia="Times New Roman" w:hAnsi="Calibri" w:cs="Times New Roman"/>
                <w:b/>
                <w:bCs/>
                <w:color w:val="FFFFFF"/>
                <w:sz w:val="20"/>
                <w:szCs w:val="20"/>
                <w:lang w:eastAsia="es-ES"/>
              </w:rPr>
            </w:pPr>
            <w:r w:rsidRPr="00C90523">
              <w:rPr>
                <w:rFonts w:ascii="Calibri" w:eastAsia="Times New Roman" w:hAnsi="Calibri" w:cs="Times New Roman"/>
                <w:b/>
                <w:bCs/>
                <w:color w:val="FFFFFF"/>
                <w:sz w:val="20"/>
                <w:szCs w:val="20"/>
                <w:lang w:eastAsia="es-ES"/>
              </w:rPr>
              <w:t>Fontes potenciais de financiamento</w:t>
            </w:r>
          </w:p>
        </w:tc>
      </w:tr>
      <w:tr w:rsidR="00E56BF0" w:rsidRPr="00C90523" w:rsidTr="00FF42C4">
        <w:trPr>
          <w:trHeight w:val="315"/>
        </w:trPr>
        <w:tc>
          <w:tcPr>
            <w:tcW w:w="5812" w:type="dxa"/>
            <w:gridSpan w:val="4"/>
            <w:tcBorders>
              <w:top w:val="single" w:sz="4" w:space="0" w:color="auto"/>
              <w:left w:val="nil"/>
              <w:bottom w:val="nil"/>
              <w:right w:val="nil"/>
            </w:tcBorders>
            <w:shd w:val="clear" w:color="000000" w:fill="D8D8D8"/>
            <w:noWrap/>
            <w:vAlign w:val="bottom"/>
            <w:hideMark/>
          </w:tcPr>
          <w:p w:rsidR="00E56BF0" w:rsidRPr="00C90523" w:rsidRDefault="00E56BF0" w:rsidP="00E56BF0">
            <w:pPr>
              <w:spacing w:after="0" w:line="240" w:lineRule="auto"/>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Eixo:</w:t>
            </w:r>
            <w:r w:rsidRPr="00C90523">
              <w:rPr>
                <w:rFonts w:ascii="Calibri" w:eastAsia="Times New Roman" w:hAnsi="Calibri" w:cs="Times New Roman"/>
                <w:b/>
                <w:lang w:eastAsia="es-ES"/>
              </w:rPr>
              <w:t xml:space="preserve"> Saúde</w:t>
            </w:r>
          </w:p>
        </w:tc>
        <w:tc>
          <w:tcPr>
            <w:tcW w:w="1843" w:type="dxa"/>
            <w:tcBorders>
              <w:top w:val="single" w:sz="4" w:space="0" w:color="auto"/>
              <w:left w:val="nil"/>
              <w:bottom w:val="nil"/>
              <w:right w:val="nil"/>
            </w:tcBorders>
            <w:shd w:val="clear" w:color="000000" w:fill="D8D8D8"/>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r w:rsidRPr="00C90523">
              <w:rPr>
                <w:rFonts w:ascii="Calibri" w:eastAsia="Times New Roman" w:hAnsi="Calibri" w:cs="Times New Roman"/>
                <w:color w:val="000000"/>
                <w:lang w:eastAsia="es-ES"/>
              </w:rPr>
              <w:t> </w:t>
            </w:r>
          </w:p>
        </w:tc>
        <w:tc>
          <w:tcPr>
            <w:tcW w:w="1276" w:type="dxa"/>
            <w:tcBorders>
              <w:top w:val="single" w:sz="4" w:space="0" w:color="auto"/>
              <w:left w:val="nil"/>
              <w:bottom w:val="nil"/>
              <w:right w:val="nil"/>
            </w:tcBorders>
            <w:shd w:val="clear" w:color="000000" w:fill="D8D8D8"/>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r w:rsidRPr="00C90523">
              <w:rPr>
                <w:rFonts w:ascii="Calibri" w:eastAsia="Times New Roman" w:hAnsi="Calibri" w:cs="Times New Roman"/>
                <w:color w:val="000000"/>
                <w:lang w:eastAsia="es-ES"/>
              </w:rPr>
              <w:t> </w:t>
            </w:r>
          </w:p>
        </w:tc>
        <w:tc>
          <w:tcPr>
            <w:tcW w:w="2410" w:type="dxa"/>
            <w:tcBorders>
              <w:top w:val="single" w:sz="4" w:space="0" w:color="auto"/>
              <w:left w:val="nil"/>
              <w:bottom w:val="nil"/>
              <w:right w:val="nil"/>
            </w:tcBorders>
            <w:shd w:val="clear" w:color="000000" w:fill="D8D8D8"/>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r w:rsidRPr="00C90523">
              <w:rPr>
                <w:rFonts w:ascii="Calibri" w:eastAsia="Times New Roman" w:hAnsi="Calibri" w:cs="Times New Roman"/>
                <w:color w:val="000000"/>
                <w:lang w:eastAsia="es-ES"/>
              </w:rPr>
              <w:t> </w:t>
            </w:r>
          </w:p>
        </w:tc>
      </w:tr>
      <w:tr w:rsidR="00E56BF0" w:rsidRPr="00C90523" w:rsidTr="00FF42C4">
        <w:trPr>
          <w:trHeight w:val="1476"/>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1.1.1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Acompanhar a implementação das propostas feitas para integração da abordagem de género no Plano Nacional de Desenvolvimento Sanitário (PNDS 2012-2016).</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861276" w:rsidRDefault="00E56BF0" w:rsidP="00FF42C4">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MS</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Assistência técnica (Acompanhamento) </w:t>
            </w:r>
            <w:r w:rsidRPr="006568A3">
              <w:rPr>
                <w:rFonts w:ascii="Calibri" w:eastAsia="Times New Roman" w:hAnsi="Calibri" w:cs="Times New Roman"/>
                <w:color w:val="000000"/>
                <w:sz w:val="18"/>
                <w:szCs w:val="18"/>
                <w:lang w:eastAsia="es-ES"/>
              </w:rPr>
              <w:br/>
              <w:t>1/2 tempo</w:t>
            </w:r>
            <w:r w:rsidRPr="006568A3">
              <w:rPr>
                <w:rFonts w:ascii="Calibri" w:eastAsia="Times New Roman" w:hAnsi="Calibri" w:cs="Times New Roman"/>
                <w:color w:val="000000"/>
                <w:sz w:val="18"/>
                <w:szCs w:val="18"/>
                <w:lang w:eastAsia="es-ES"/>
              </w:rPr>
              <w:br/>
              <w:t>(Envolvida também nas medidas 1.2.3 e 1.2.4)</w:t>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w:t>
            </w:r>
            <w:r w:rsidR="00E56BF0" w:rsidRPr="00C90523">
              <w:rPr>
                <w:rFonts w:ascii="Calibri" w:eastAsia="Times New Roman" w:hAnsi="Calibri" w:cs="Times New Roman"/>
                <w:color w:val="000000"/>
                <w:sz w:val="18"/>
                <w:szCs w:val="18"/>
                <w:lang w:eastAsia="es-ES"/>
              </w:rPr>
              <w:t xml:space="preserve">1.188.000   </w:t>
            </w:r>
          </w:p>
        </w:tc>
        <w:tc>
          <w:tcPr>
            <w:tcW w:w="2410"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F16 - Prestação dos cuidados de saúde na rede hospitalar </w:t>
            </w:r>
            <w:r w:rsidRPr="006568A3">
              <w:rPr>
                <w:rFonts w:ascii="Calibri" w:eastAsia="Times New Roman" w:hAnsi="Calibri" w:cs="Times New Roman"/>
                <w:color w:val="000000"/>
                <w:sz w:val="18"/>
                <w:szCs w:val="18"/>
                <w:lang w:eastAsia="es-ES"/>
              </w:rPr>
              <w:br/>
              <w:t>F18 - prestação dos cuidados de saúde na rede de atenção primária</w:t>
            </w:r>
            <w:r w:rsidRPr="006568A3">
              <w:rPr>
                <w:rFonts w:ascii="Calibri" w:eastAsia="Times New Roman" w:hAnsi="Calibri" w:cs="Times New Roman"/>
                <w:color w:val="000000"/>
                <w:sz w:val="18"/>
                <w:szCs w:val="18"/>
                <w:lang w:eastAsia="es-ES"/>
              </w:rPr>
              <w:br/>
              <w:t>I11 - Desenvolvimento dos recursos humanos de saúde</w:t>
            </w:r>
          </w:p>
        </w:tc>
      </w:tr>
      <w:tr w:rsidR="00E56BF0" w:rsidRPr="00C90523" w:rsidTr="00FF42C4">
        <w:trPr>
          <w:trHeight w:val="491"/>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1.1.2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Analisar os programas do PNDS priorizados   (Diabetes, Luta contra o Cancro, Saúde Mental) e propor/acompanhar a implementação de medidas para que a prestação de serviços responda às necessidades diferenciadas de mulheres e homens, incluindo grupos específicos</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861276" w:rsidRDefault="00E56BF0" w:rsidP="00FF42C4">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Asist</w:t>
            </w:r>
            <w:r w:rsidR="006536CC">
              <w:rPr>
                <w:rFonts w:ascii="Calibri" w:eastAsia="Times New Roman" w:hAnsi="Calibri" w:cs="Times New Roman"/>
                <w:color w:val="000000"/>
                <w:sz w:val="18"/>
                <w:szCs w:val="18"/>
                <w:lang w:eastAsia="es-ES"/>
              </w:rPr>
              <w:t>ê</w:t>
            </w:r>
            <w:r w:rsidRPr="00C90523">
              <w:rPr>
                <w:rFonts w:ascii="Calibri" w:eastAsia="Times New Roman" w:hAnsi="Calibri" w:cs="Times New Roman"/>
                <w:color w:val="000000"/>
                <w:sz w:val="18"/>
                <w:szCs w:val="18"/>
                <w:lang w:eastAsia="es-ES"/>
              </w:rPr>
              <w:t>ncia técnica especializada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 xml:space="preserve">       600.000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F16 - Prestação dos cuidados de saúde na rede hospitalar </w:t>
            </w:r>
            <w:r w:rsidRPr="006568A3">
              <w:rPr>
                <w:rFonts w:ascii="Calibri" w:eastAsia="Times New Roman" w:hAnsi="Calibri" w:cs="Times New Roman"/>
                <w:color w:val="000000"/>
                <w:sz w:val="18"/>
                <w:szCs w:val="18"/>
                <w:lang w:eastAsia="es-ES"/>
              </w:rPr>
              <w:br/>
              <w:t>F18 - prestação dos cuidados de saúde na rede de atenção primária</w:t>
            </w:r>
          </w:p>
        </w:tc>
      </w:tr>
      <w:tr w:rsidR="00E56BF0" w:rsidRPr="00C90523" w:rsidTr="00FF42C4">
        <w:trPr>
          <w:trHeight w:val="135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nil"/>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Atelier Nacional (3 d</w:t>
            </w:r>
            <w:r w:rsidR="006536CC">
              <w:rPr>
                <w:rFonts w:ascii="Calibri" w:eastAsia="Times New Roman" w:hAnsi="Calibri" w:cs="Times New Roman"/>
                <w:color w:val="000000"/>
                <w:sz w:val="18"/>
                <w:szCs w:val="18"/>
                <w:lang w:eastAsia="es-ES"/>
              </w:rPr>
              <w:t>i</w:t>
            </w:r>
            <w:r w:rsidRPr="00C90523">
              <w:rPr>
                <w:rFonts w:ascii="Calibri" w:eastAsia="Times New Roman" w:hAnsi="Calibri" w:cs="Times New Roman"/>
                <w:color w:val="000000"/>
                <w:sz w:val="18"/>
                <w:szCs w:val="18"/>
                <w:lang w:eastAsia="es-ES"/>
              </w:rPr>
              <w:t>as)</w:t>
            </w:r>
          </w:p>
        </w:tc>
        <w:tc>
          <w:tcPr>
            <w:tcW w:w="1276" w:type="dxa"/>
            <w:tcBorders>
              <w:top w:val="nil"/>
              <w:left w:val="nil"/>
              <w:bottom w:val="single" w:sz="4" w:space="0" w:color="auto"/>
              <w:right w:val="single" w:sz="4" w:space="0" w:color="auto"/>
            </w:tcBorders>
            <w:shd w:val="clear" w:color="auto" w:fill="auto"/>
            <w:noWrap/>
            <w:hideMark/>
          </w:tcPr>
          <w:p w:rsidR="00E56BF0" w:rsidRPr="00861276" w:rsidRDefault="00E56BF0" w:rsidP="00E56BF0">
            <w:pPr>
              <w:spacing w:after="0" w:line="240" w:lineRule="auto"/>
              <w:jc w:val="right"/>
              <w:rPr>
                <w:rFonts w:ascii="Calibri" w:eastAsia="Times New Roman" w:hAnsi="Calibri" w:cs="Times New Roman"/>
                <w:color w:val="000000"/>
                <w:sz w:val="18"/>
                <w:szCs w:val="18"/>
                <w:lang w:eastAsia="es-ES"/>
              </w:rPr>
            </w:pPr>
            <w:r w:rsidRPr="00861276">
              <w:rPr>
                <w:rFonts w:ascii="Calibri" w:eastAsia="Times New Roman" w:hAnsi="Calibri" w:cs="Times New Roman"/>
                <w:color w:val="000000"/>
                <w:sz w:val="18"/>
                <w:szCs w:val="18"/>
                <w:lang w:eastAsia="es-ES"/>
              </w:rPr>
              <w:t xml:space="preserve">1.980.000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043"/>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1.2.1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Analisar o sistema e os processos de produção de dados do sistema de informação da saúde e propor medidas para que o tratamento dos dados seja desagregados a todos os níveis.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tcBorders>
              <w:top w:val="single" w:sz="4" w:space="0" w:color="auto"/>
              <w:left w:val="nil"/>
              <w:bottom w:val="single" w:sz="4" w:space="0" w:color="auto"/>
              <w:right w:val="single" w:sz="4" w:space="0" w:color="auto"/>
            </w:tcBorders>
            <w:shd w:val="clear" w:color="auto" w:fill="auto"/>
            <w:hideMark/>
          </w:tcPr>
          <w:p w:rsidR="00E56BF0" w:rsidRPr="00861276" w:rsidRDefault="00E56BF0" w:rsidP="00FF42C4">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Assistência técnica especializada Internacional (21 dias)</w:t>
            </w:r>
            <w:r w:rsidRPr="006568A3">
              <w:rPr>
                <w:rFonts w:ascii="Calibri" w:eastAsia="Times New Roman" w:hAnsi="Calibri" w:cs="Times New Roman"/>
                <w:color w:val="000000"/>
                <w:sz w:val="18"/>
                <w:szCs w:val="18"/>
                <w:lang w:eastAsia="es-ES"/>
              </w:rPr>
              <w:br/>
              <w:t>(Envolvida também na medida 1.2.2)</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w:t>
            </w:r>
            <w:r w:rsidR="00E56BF0" w:rsidRPr="00C90523">
              <w:rPr>
                <w:rFonts w:ascii="Calibri" w:eastAsia="Times New Roman" w:hAnsi="Calibri" w:cs="Times New Roman"/>
                <w:color w:val="000000"/>
                <w:sz w:val="18"/>
                <w:szCs w:val="18"/>
                <w:lang w:eastAsia="es-ES"/>
              </w:rPr>
              <w:t xml:space="preserve">1.049.000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I12.- Sistema integrado de informação para saúde </w:t>
            </w:r>
          </w:p>
        </w:tc>
      </w:tr>
      <w:tr w:rsidR="00E56BF0" w:rsidRPr="00C90523" w:rsidTr="00FF42C4">
        <w:trPr>
          <w:trHeight w:val="1073"/>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1.2.2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Analisar o projecto de desenvolvimento do Sistema Integrado de Saúde (SIS) e acompanhar a implementação de medidas para a integração da abordagem de género no mesmo.</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861276" w:rsidRDefault="00E56BF0" w:rsidP="00FF42C4">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Assistência técnica especializada Internacional (21 dias)</w:t>
            </w:r>
            <w:r w:rsidRPr="006568A3">
              <w:rPr>
                <w:rFonts w:ascii="Calibri" w:eastAsia="Times New Roman" w:hAnsi="Calibri" w:cs="Times New Roman"/>
                <w:color w:val="000000"/>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(Rúbrica orçamentada na 1.2.1)</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I12.- Sistema integrado de informação para saúde </w:t>
            </w:r>
          </w:p>
        </w:tc>
      </w:tr>
      <w:tr w:rsidR="00E56BF0" w:rsidRPr="00C90523" w:rsidTr="00FF42C4">
        <w:trPr>
          <w:trHeight w:val="1089"/>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1.2.3</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Promover no seguimento, na revisão a meio percurso e na avaliação do PNDS  o uso de estatísticas/indicadores desagregados por sexos outras variáveis.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Conselho do Ministério da Saúde</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Assistência técnica (Acompanhamento) </w:t>
            </w:r>
            <w:r w:rsidRPr="006568A3">
              <w:rPr>
                <w:rFonts w:ascii="Calibri" w:eastAsia="Times New Roman" w:hAnsi="Calibri" w:cs="Times New Roman"/>
                <w:color w:val="000000"/>
                <w:sz w:val="18"/>
                <w:szCs w:val="18"/>
                <w:lang w:eastAsia="es-ES"/>
              </w:rPr>
              <w:br/>
              <w:t xml:space="preserve">1/2 tempo </w:t>
            </w:r>
            <w:r w:rsidRPr="006568A3">
              <w:rPr>
                <w:rFonts w:ascii="Calibri" w:eastAsia="Times New Roman" w:hAnsi="Calibri" w:cs="Times New Roman"/>
                <w:color w:val="000000"/>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(Rúbrica orçamentada na medida 1.1.1)</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I12.- Sistema integrado de informação para saúde </w:t>
            </w:r>
          </w:p>
        </w:tc>
      </w:tr>
      <w:tr w:rsidR="00E56BF0" w:rsidRPr="00C90523" w:rsidTr="00FF42C4">
        <w:trPr>
          <w:trHeight w:val="544"/>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1.2.4</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Acompanhar a elaboração do novo plano estratégico da saúde com vistas a assegurar a integração da abordagem de género.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2016-2017</w:t>
            </w:r>
          </w:p>
        </w:tc>
        <w:tc>
          <w:tcPr>
            <w:tcW w:w="1134" w:type="dxa"/>
            <w:vMerge w:val="restart"/>
            <w:tcBorders>
              <w:top w:val="nil"/>
              <w:left w:val="nil"/>
              <w:right w:val="single" w:sz="4" w:space="0" w:color="auto"/>
            </w:tcBorders>
            <w:shd w:val="clear" w:color="auto" w:fill="auto"/>
            <w:hideMark/>
          </w:tcPr>
          <w:p w:rsidR="00E56BF0" w:rsidRPr="00861276" w:rsidRDefault="00E56BF0" w:rsidP="00FF42C4">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Assistência técnica (Acompanhamento) </w:t>
            </w:r>
            <w:r w:rsidRPr="006568A3">
              <w:rPr>
                <w:rFonts w:ascii="Calibri" w:eastAsia="Times New Roman" w:hAnsi="Calibri" w:cs="Times New Roman"/>
                <w:color w:val="000000"/>
                <w:sz w:val="18"/>
                <w:szCs w:val="18"/>
                <w:lang w:eastAsia="es-ES"/>
              </w:rPr>
              <w:br/>
              <w:t xml:space="preserve">1/2 tempo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(Rúbrica orçamentada na 1.1.1)</w:t>
            </w:r>
          </w:p>
        </w:tc>
        <w:tc>
          <w:tcPr>
            <w:tcW w:w="2410" w:type="dxa"/>
            <w:vMerge w:val="restart"/>
            <w:tcBorders>
              <w:top w:val="nil"/>
              <w:left w:val="nil"/>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F21 Desenvolvimento Institucional (Saúde) </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39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Assistência técnica especializada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600.000   </w:t>
            </w:r>
          </w:p>
        </w:tc>
        <w:tc>
          <w:tcPr>
            <w:tcW w:w="2410"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540"/>
        </w:trPr>
        <w:tc>
          <w:tcPr>
            <w:tcW w:w="595" w:type="dxa"/>
            <w:vMerge w:val="restart"/>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1.3.1</w:t>
            </w:r>
          </w:p>
        </w:tc>
        <w:tc>
          <w:tcPr>
            <w:tcW w:w="3061" w:type="dxa"/>
            <w:vMerge w:val="restart"/>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um estudo sobre impacto nas mulheres do tempo dedicado aos cuidados de pessoas doentes e formulação de propostas com base nas recomendações,  para melhorar os programas de prestação de cuidados de saúde, bem como de apoio às/aos que cuidam.</w:t>
            </w:r>
          </w:p>
        </w:tc>
        <w:tc>
          <w:tcPr>
            <w:tcW w:w="1022" w:type="dxa"/>
            <w:vMerge w:val="restart"/>
            <w:tcBorders>
              <w:top w:val="nil"/>
              <w:left w:val="single" w:sz="4" w:space="0" w:color="auto"/>
              <w:bottom w:val="single" w:sz="4" w:space="0" w:color="auto"/>
              <w:right w:val="single" w:sz="4" w:space="0" w:color="auto"/>
            </w:tcBorders>
            <w:shd w:val="clear" w:color="auto" w:fill="auto"/>
            <w:hideMark/>
          </w:tcPr>
          <w:p w:rsidR="00E56BF0" w:rsidRPr="00C90523" w:rsidRDefault="00E56BF0" w:rsidP="00FF42C4">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2017</w:t>
            </w:r>
          </w:p>
        </w:tc>
        <w:tc>
          <w:tcPr>
            <w:tcW w:w="1134" w:type="dxa"/>
            <w:vMerge w:val="restart"/>
            <w:tcBorders>
              <w:top w:val="nil"/>
              <w:left w:val="nil"/>
              <w:right w:val="single" w:sz="4" w:space="0" w:color="auto"/>
            </w:tcBorders>
            <w:shd w:val="clear" w:color="auto" w:fill="auto"/>
            <w:hideMark/>
          </w:tcPr>
          <w:p w:rsidR="00E56BF0" w:rsidRPr="00861276" w:rsidRDefault="00E56BF0" w:rsidP="00FF42C4">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MAPM/</w:t>
            </w:r>
          </w:p>
          <w:p w:rsidR="00E56BF0" w:rsidRPr="00C90523" w:rsidRDefault="00E56BF0" w:rsidP="00FF42C4">
            <w:pPr>
              <w:spacing w:after="0" w:line="240" w:lineRule="auto"/>
              <w:rPr>
                <w:rFonts w:ascii="Calibri" w:eastAsia="Times New Roman" w:hAnsi="Calibri" w:cs="Times New Roman"/>
                <w:sz w:val="18"/>
                <w:szCs w:val="18"/>
                <w:lang w:eastAsia="es-ES"/>
              </w:rPr>
            </w:pPr>
            <w:r w:rsidRPr="00C9052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Estudo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1.049.000   </w:t>
            </w:r>
          </w:p>
        </w:tc>
        <w:tc>
          <w:tcPr>
            <w:tcW w:w="2410" w:type="dxa"/>
            <w:vMerge w:val="restart"/>
            <w:tcBorders>
              <w:top w:val="nil"/>
              <w:left w:val="single" w:sz="4" w:space="0" w:color="auto"/>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I15 Reforço da igualdade e equidade de género</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300"/>
        </w:trPr>
        <w:tc>
          <w:tcPr>
            <w:tcW w:w="595" w:type="dxa"/>
            <w:vMerge/>
            <w:tcBorders>
              <w:top w:val="nil"/>
              <w:left w:val="single" w:sz="4" w:space="0" w:color="auto"/>
              <w:bottom w:val="single" w:sz="4" w:space="0" w:color="auto"/>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vAlign w:val="center"/>
            <w:hideMark/>
          </w:tcPr>
          <w:p w:rsidR="00E56BF0" w:rsidRPr="00C90523" w:rsidRDefault="00E56BF0" w:rsidP="00E56BF0">
            <w:pPr>
              <w:spacing w:after="0" w:line="240" w:lineRule="auto"/>
              <w:jc w:val="center"/>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Publicação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250.000   </w:t>
            </w:r>
          </w:p>
        </w:tc>
        <w:tc>
          <w:tcPr>
            <w:tcW w:w="2410"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300"/>
        </w:trPr>
        <w:tc>
          <w:tcPr>
            <w:tcW w:w="595" w:type="dxa"/>
            <w:vMerge/>
            <w:tcBorders>
              <w:top w:val="nil"/>
              <w:left w:val="single" w:sz="4" w:space="0" w:color="auto"/>
              <w:bottom w:val="single" w:sz="4" w:space="0" w:color="auto"/>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vAlign w:val="center"/>
            <w:hideMark/>
          </w:tcPr>
          <w:p w:rsidR="00E56BF0" w:rsidRPr="00C90523" w:rsidRDefault="00E56BF0" w:rsidP="00E56BF0">
            <w:pPr>
              <w:spacing w:after="0" w:line="240" w:lineRule="auto"/>
              <w:jc w:val="center"/>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Atelier Nacional (1 d</w:t>
            </w:r>
            <w:r w:rsidR="006536CC">
              <w:rPr>
                <w:rFonts w:ascii="Calibri" w:eastAsia="Times New Roman" w:hAnsi="Calibri" w:cs="Times New Roman"/>
                <w:color w:val="000000"/>
                <w:sz w:val="18"/>
                <w:szCs w:val="18"/>
                <w:lang w:eastAsia="es-ES"/>
              </w:rPr>
              <w:t>i</w:t>
            </w:r>
            <w:r w:rsidRPr="006568A3">
              <w:rPr>
                <w:rFonts w:ascii="Calibri" w:eastAsia="Times New Roman" w:hAnsi="Calibri" w:cs="Times New Roman"/>
                <w:color w:val="000000"/>
                <w:sz w:val="18"/>
                <w:szCs w:val="18"/>
                <w:lang w:eastAsia="es-ES"/>
              </w:rPr>
              <w:t>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380.000   </w:t>
            </w:r>
          </w:p>
        </w:tc>
        <w:tc>
          <w:tcPr>
            <w:tcW w:w="2410"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442"/>
        </w:trPr>
        <w:tc>
          <w:tcPr>
            <w:tcW w:w="595" w:type="dxa"/>
            <w:vMerge/>
            <w:tcBorders>
              <w:top w:val="nil"/>
              <w:left w:val="single" w:sz="4" w:space="0" w:color="auto"/>
              <w:bottom w:val="single" w:sz="4" w:space="0" w:color="auto"/>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vAlign w:val="center"/>
            <w:hideMark/>
          </w:tcPr>
          <w:p w:rsidR="00E56BF0" w:rsidRPr="00C90523" w:rsidRDefault="00E56BF0" w:rsidP="00E56BF0">
            <w:pPr>
              <w:spacing w:after="0" w:line="240" w:lineRule="auto"/>
              <w:jc w:val="center"/>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Estratégia de advocacia (sem media)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630.000   </w:t>
            </w:r>
          </w:p>
        </w:tc>
        <w:tc>
          <w:tcPr>
            <w:tcW w:w="2410"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E56BF0" w:rsidP="00E56BF0">
            <w:pPr>
              <w:spacing w:after="0" w:line="240" w:lineRule="auto"/>
              <w:rPr>
                <w:rFonts w:ascii="Calibri" w:eastAsia="Times New Roman" w:hAnsi="Calibri" w:cs="Times New Roman"/>
                <w:b/>
                <w:color w:val="000000"/>
                <w:lang w:eastAsia="es-ES"/>
              </w:rPr>
            </w:pPr>
            <w:r w:rsidRPr="00C90523">
              <w:rPr>
                <w:rFonts w:ascii="Calibri" w:eastAsia="Times New Roman" w:hAnsi="Calibri" w:cs="Times New Roman"/>
                <w:b/>
                <w:color w:val="000000"/>
                <w:lang w:eastAsia="es-ES"/>
              </w:rPr>
              <w:t>Subtotal Eixo Saúde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 xml:space="preserve"> 7.726.000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15"/>
        </w:trPr>
        <w:tc>
          <w:tcPr>
            <w:tcW w:w="5812" w:type="dxa"/>
            <w:gridSpan w:val="4"/>
            <w:tcBorders>
              <w:top w:val="single" w:sz="4" w:space="0" w:color="auto"/>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b/>
                <w:bCs/>
                <w:color w:val="000000"/>
                <w:lang w:eastAsia="es-ES"/>
              </w:rPr>
            </w:pPr>
          </w:p>
          <w:p w:rsidR="00E56BF0" w:rsidRPr="00C90523" w:rsidRDefault="00E56BF0" w:rsidP="00E56BF0">
            <w:pPr>
              <w:spacing w:after="0" w:line="240" w:lineRule="auto"/>
              <w:rPr>
                <w:rFonts w:ascii="Calibri" w:eastAsia="Times New Roman" w:hAnsi="Calibri" w:cs="Times New Roman"/>
                <w:b/>
                <w:bCs/>
                <w:color w:val="000000"/>
                <w:lang w:eastAsia="es-ES"/>
              </w:rPr>
            </w:pPr>
          </w:p>
        </w:tc>
        <w:tc>
          <w:tcPr>
            <w:tcW w:w="1843" w:type="dxa"/>
            <w:tcBorders>
              <w:top w:val="single" w:sz="4" w:space="0" w:color="auto"/>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276" w:type="dxa"/>
            <w:tcBorders>
              <w:top w:val="single" w:sz="4" w:space="0" w:color="auto"/>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2410" w:type="dxa"/>
            <w:tcBorders>
              <w:top w:val="single" w:sz="4" w:space="0" w:color="auto"/>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315"/>
        </w:trPr>
        <w:tc>
          <w:tcPr>
            <w:tcW w:w="5812" w:type="dxa"/>
            <w:gridSpan w:val="4"/>
            <w:tcBorders>
              <w:top w:val="single" w:sz="4" w:space="0" w:color="auto"/>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Eixo:</w:t>
            </w:r>
            <w:r w:rsidRPr="006568A3">
              <w:rPr>
                <w:rFonts w:ascii="Calibri" w:eastAsia="Times New Roman" w:hAnsi="Calibri" w:cs="Times New Roman"/>
                <w:b/>
                <w:lang w:eastAsia="es-ES"/>
              </w:rPr>
              <w:t xml:space="preserve"> Direitos Sexuais e Reprodutivos</w:t>
            </w:r>
          </w:p>
        </w:tc>
        <w:tc>
          <w:tcPr>
            <w:tcW w:w="1843" w:type="dxa"/>
            <w:tcBorders>
              <w:top w:val="single" w:sz="4" w:space="0" w:color="auto"/>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color w:val="000000"/>
                <w:lang w:eastAsia="es-ES"/>
              </w:rPr>
            </w:pPr>
            <w:r w:rsidRPr="006568A3">
              <w:rPr>
                <w:rFonts w:ascii="Calibri" w:eastAsia="Times New Roman" w:hAnsi="Calibri" w:cs="Times New Roman"/>
                <w:color w:val="000000"/>
                <w:lang w:eastAsia="es-ES"/>
              </w:rPr>
              <w:t> </w:t>
            </w:r>
          </w:p>
        </w:tc>
        <w:tc>
          <w:tcPr>
            <w:tcW w:w="1276" w:type="dxa"/>
            <w:tcBorders>
              <w:top w:val="single" w:sz="4" w:space="0" w:color="auto"/>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color w:val="000000"/>
                <w:lang w:eastAsia="es-ES"/>
              </w:rPr>
            </w:pPr>
            <w:r w:rsidRPr="006568A3">
              <w:rPr>
                <w:rFonts w:ascii="Calibri" w:eastAsia="Times New Roman" w:hAnsi="Calibri" w:cs="Times New Roman"/>
                <w:color w:val="000000"/>
                <w:lang w:eastAsia="es-ES"/>
              </w:rPr>
              <w:t> </w:t>
            </w:r>
          </w:p>
        </w:tc>
        <w:tc>
          <w:tcPr>
            <w:tcW w:w="2410" w:type="dxa"/>
            <w:tcBorders>
              <w:top w:val="single" w:sz="4" w:space="0" w:color="auto"/>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tc>
      </w:tr>
      <w:tr w:rsidR="00E56BF0" w:rsidRPr="00C90523" w:rsidTr="00FF42C4">
        <w:trPr>
          <w:trHeight w:val="1427"/>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2.1.1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Diagnosticar as práticas atuais e os gaps existentes na prestação de serviços de SSR, incluindo o IEC e a prevenção das práticas consequências da prática insegura de IVG, tendo em conta as especificidades de género dos beneficiários/as, incluindo de grupos específicos.   </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qualitativo</w:t>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1.049.000   </w:t>
            </w:r>
          </w:p>
        </w:tc>
        <w:tc>
          <w:tcPr>
            <w:tcW w:w="2410"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F18.- Prestação dos cuidados de saúde na rede de atenção primaria.</w:t>
            </w:r>
            <w:r w:rsidRPr="006568A3">
              <w:rPr>
                <w:rFonts w:ascii="Calibri" w:eastAsia="Times New Roman" w:hAnsi="Calibri" w:cs="Times New Roman"/>
                <w:color w:val="000000"/>
                <w:sz w:val="18"/>
                <w:szCs w:val="18"/>
                <w:lang w:eastAsia="es-ES"/>
              </w:rPr>
              <w:br/>
              <w:t xml:space="preserve">UNFPA </w:t>
            </w:r>
          </w:p>
        </w:tc>
      </w:tr>
      <w:tr w:rsidR="00E56BF0" w:rsidRPr="00C90523" w:rsidTr="00FF42C4">
        <w:trPr>
          <w:trHeight w:val="1225"/>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2.1.2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Reforçar dentro do Programa de Saúde Reprodutiva linhas de atuação de atenção às demandas de homens e mulheres e grupos específicos em relação à SSR.</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 (Envolvida também nas medidas 2.2.1 e 2.4.1)</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1.584.000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F18.- Prestação dos cuidados de saúde na rede de atenção primaria.</w:t>
            </w:r>
            <w:r w:rsidRPr="006568A3">
              <w:rPr>
                <w:rFonts w:ascii="Calibri" w:eastAsia="Times New Roman" w:hAnsi="Calibri" w:cs="Times New Roman"/>
                <w:color w:val="000000"/>
                <w:sz w:val="18"/>
                <w:szCs w:val="18"/>
                <w:lang w:eastAsia="es-ES"/>
              </w:rPr>
              <w:br/>
              <w:t xml:space="preserve"> </w:t>
            </w:r>
          </w:p>
        </w:tc>
      </w:tr>
      <w:tr w:rsidR="00E56BF0" w:rsidRPr="00C90523" w:rsidTr="00FF42C4">
        <w:trPr>
          <w:trHeight w:val="466"/>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2.1.3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Capacitar em matéria de género e outras áreas identificadas no diagnóstico dos/as tomadores de decisão e técnicos/as prestadores/as de serviços.</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(3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660.000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I11.- Desenvolvimento dos recursos humanos de saúde </w:t>
            </w:r>
          </w:p>
        </w:tc>
      </w:tr>
      <w:tr w:rsidR="00E56BF0" w:rsidRPr="00C90523" w:rsidTr="00FF42C4">
        <w:trPr>
          <w:trHeight w:val="414"/>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Facilitador/a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75.000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636"/>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2.1.4</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Desenvolver campanhas para a promoção da procura dos serviços de SSR por parte dos diferentes grupos.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Estratégia de advocacia (incluindo media)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3.030.000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F18.- Prestação dos cuidados de saúde na rede de atenção primaria. </w:t>
            </w:r>
          </w:p>
        </w:tc>
      </w:tr>
      <w:tr w:rsidR="00E56BF0" w:rsidRPr="00C90523" w:rsidTr="00FF42C4">
        <w:trPr>
          <w:trHeight w:val="374"/>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2.2.1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Elaborar uma avaliação do impacto das estratégias de promoção da saúde no contexto do combate às IST/VIH/SIDA, que inclua uma análise de género das dinâmicas subjacentes aos comportamentos de risco dos grupos prioritários identificados pelo Plano Nacional de combate ao VIH-SIDA e elaborar estratégias de intervenção que visam as mudanças de comportamento, a serem integradas na planificação do combate ao VIH-SIDA.  </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CHGOV/</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CCS-SIDA</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1.500.000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F20.- Reforço da luta contra sida. </w:t>
            </w:r>
          </w:p>
        </w:tc>
      </w:tr>
      <w:tr w:rsidR="00E56BF0" w:rsidRPr="00C90523" w:rsidTr="00FF42C4">
        <w:trPr>
          <w:trHeight w:val="211"/>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Publicação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250.000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43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2.1.2)</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267"/>
        </w:trPr>
        <w:tc>
          <w:tcPr>
            <w:tcW w:w="595" w:type="dxa"/>
            <w:tcBorders>
              <w:top w:val="nil"/>
              <w:left w:val="single" w:sz="4" w:space="0" w:color="auto"/>
              <w:bottom w:val="nil"/>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2.3.1</w:t>
            </w:r>
          </w:p>
        </w:tc>
        <w:tc>
          <w:tcPr>
            <w:tcW w:w="3061"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Mapear instituições e organizações com trabalho a nível comunitário e promover reflexão sobre a abordagem da sensibilização/CMC (comunicação para a mudança de  comportamento) que permita o desenvolvimento de uma abordagem mais eficaz (positiva ).</w:t>
            </w:r>
          </w:p>
        </w:tc>
        <w:tc>
          <w:tcPr>
            <w:tcW w:w="1022"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400.000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F18.- Prestação dos cuidados de saúde na rede de atenção primaria. </w:t>
            </w:r>
          </w:p>
        </w:tc>
      </w:tr>
      <w:tr w:rsidR="00E56BF0" w:rsidRPr="00C90523" w:rsidTr="00FF42C4">
        <w:trPr>
          <w:trHeight w:val="840"/>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2.3.2</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Identificar áreas geográficas para implementação piloto e capacitar técnicos das instituições envolvidas e das lideranças comunitárias na abordagem de género da sexualidade a nível comunitário, numa lógica de formação de formadores.</w:t>
            </w:r>
          </w:p>
          <w:p w:rsidR="00E56BF0" w:rsidRPr="00C90523" w:rsidRDefault="00E56BF0" w:rsidP="00E56BF0">
            <w:pPr>
              <w:spacing w:after="0" w:line="240" w:lineRule="auto"/>
              <w:rPr>
                <w:rFonts w:ascii="Calibri" w:eastAsia="Times New Roman" w:hAnsi="Calibri" w:cs="Times New Roman"/>
                <w:color w:val="000000"/>
                <w:sz w:val="18"/>
                <w:szCs w:val="18"/>
                <w:lang w:eastAsia="es-ES"/>
              </w:rPr>
            </w:pPr>
          </w:p>
          <w:p w:rsidR="00E56BF0" w:rsidRPr="00C90523" w:rsidRDefault="00E56BF0" w:rsidP="00E56BF0">
            <w:pPr>
              <w:spacing w:after="0" w:line="240" w:lineRule="auto"/>
              <w:rPr>
                <w:rFonts w:ascii="Calibri" w:eastAsia="Times New Roman" w:hAnsi="Calibri" w:cs="Times New Roman"/>
                <w:color w:val="000000"/>
                <w:sz w:val="18"/>
                <w:szCs w:val="18"/>
                <w:lang w:eastAsia="es-ES"/>
              </w:rPr>
            </w:pPr>
          </w:p>
          <w:p w:rsidR="00E56BF0" w:rsidRPr="00C90523" w:rsidRDefault="00E56BF0" w:rsidP="00E56BF0">
            <w:pPr>
              <w:spacing w:after="0" w:line="240" w:lineRule="auto"/>
              <w:rPr>
                <w:rFonts w:ascii="Calibri" w:eastAsia="Times New Roman" w:hAnsi="Calibri" w:cs="Times New Roman"/>
                <w:color w:val="000000"/>
                <w:sz w:val="18"/>
                <w:szCs w:val="18"/>
                <w:lang w:eastAsia="es-ES"/>
              </w:rPr>
            </w:pPr>
          </w:p>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(2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520.000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I11.- Desenvolvimento dos recursos humanos de saúde. </w:t>
            </w:r>
          </w:p>
        </w:tc>
      </w:tr>
      <w:tr w:rsidR="00E56BF0" w:rsidRPr="00C90523" w:rsidTr="00FF42C4">
        <w:trPr>
          <w:trHeight w:val="646"/>
        </w:trPr>
        <w:tc>
          <w:tcPr>
            <w:tcW w:w="595" w:type="dxa"/>
            <w:vMerge/>
            <w:tcBorders>
              <w:top w:val="single" w:sz="4" w:space="0" w:color="auto"/>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single" w:sz="4" w:space="0" w:color="auto"/>
              <w:left w:val="single" w:sz="4" w:space="0" w:color="auto"/>
              <w:bottom w:val="single" w:sz="4" w:space="0" w:color="000000"/>
              <w:right w:val="single" w:sz="4" w:space="0" w:color="auto"/>
            </w:tcBorders>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local (2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645.000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372"/>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2.4.1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Elaborar um estudo acerca dos factores de risco para a gravidez na adolescência e dinâmicas sociais subjacentes e elaborar propostas de atuação.  </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1.500.000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F15.- Participação e representação dos jovens.</w:t>
            </w:r>
            <w:r w:rsidRPr="006568A3">
              <w:rPr>
                <w:rFonts w:ascii="Calibri" w:eastAsia="Times New Roman" w:hAnsi="Calibri" w:cs="Times New Roman"/>
                <w:color w:val="000000"/>
                <w:sz w:val="18"/>
                <w:szCs w:val="18"/>
                <w:lang w:eastAsia="es-ES"/>
              </w:rPr>
              <w:br/>
              <w:t xml:space="preserve">F22.- Melhoria das condições das crianças e adolescentes </w:t>
            </w:r>
          </w:p>
        </w:tc>
      </w:tr>
      <w:tr w:rsidR="00E56BF0" w:rsidRPr="00C90523" w:rsidTr="00FF42C4">
        <w:trPr>
          <w:trHeight w:val="592"/>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2.1.2)</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053"/>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2.4.2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Apoiar campanhas/programas de prevenção da gravidez na adolescência.</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Estratégia de advocacia (incluindo media)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6.060.000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F15.- Participação e representação dos jovens.</w:t>
            </w:r>
            <w:r w:rsidRPr="006568A3">
              <w:rPr>
                <w:rFonts w:ascii="Calibri" w:eastAsia="Times New Roman" w:hAnsi="Calibri" w:cs="Times New Roman"/>
                <w:color w:val="000000"/>
                <w:sz w:val="18"/>
                <w:szCs w:val="18"/>
                <w:lang w:eastAsia="es-ES"/>
              </w:rPr>
              <w:br/>
              <w:t xml:space="preserve">F18.- Prestação dos cuidados de saúde na rede de atenção primaria. </w:t>
            </w: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 xml:space="preserve">Subtotal Eixo </w:t>
            </w:r>
            <w:r w:rsidRPr="006568A3">
              <w:rPr>
                <w:rFonts w:ascii="Calibri" w:eastAsia="Times New Roman" w:hAnsi="Calibri" w:cs="Times New Roman"/>
                <w:b/>
                <w:lang w:eastAsia="es-ES"/>
              </w:rPr>
              <w:t>Direitos Sexuais e Reprodutivos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17.273.000</w:t>
            </w:r>
            <w:r w:rsidRPr="00861276">
              <w:rPr>
                <w:rFonts w:ascii="Calibri" w:eastAsia="Times New Roman" w:hAnsi="Calibri" w:cs="Times New Roman"/>
                <w:b/>
                <w:bCs/>
                <w:color w:val="000000"/>
                <w:sz w:val="20"/>
                <w:szCs w:val="20"/>
                <w:lang w:eastAsia="es-ES"/>
              </w:rPr>
              <w:t xml:space="preserve"> </w:t>
            </w:r>
            <w:r w:rsidR="006568A3" w:rsidRPr="006568A3">
              <w:rPr>
                <w:rFonts w:ascii="Calibri" w:eastAsia="Times New Roman" w:hAnsi="Calibri" w:cs="Times New Roman"/>
                <w:b/>
                <w:bCs/>
                <w:color w:val="000000"/>
                <w:lang w:eastAsia="es-E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861276"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00"/>
        </w:trPr>
        <w:tc>
          <w:tcPr>
            <w:tcW w:w="595"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20"/>
                <w:szCs w:val="20"/>
                <w:lang w:eastAsia="es-ES"/>
              </w:rPr>
            </w:pPr>
          </w:p>
        </w:tc>
        <w:tc>
          <w:tcPr>
            <w:tcW w:w="3061"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022"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134"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843" w:type="dxa"/>
            <w:tcBorders>
              <w:top w:val="nil"/>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276" w:type="dxa"/>
            <w:tcBorders>
              <w:top w:val="nil"/>
              <w:left w:val="nil"/>
              <w:bottom w:val="single" w:sz="4" w:space="0" w:color="auto"/>
              <w:right w:val="nil"/>
            </w:tcBorders>
            <w:shd w:val="clear" w:color="auto" w:fill="auto"/>
            <w:noWrap/>
            <w:vAlign w:val="bottom"/>
            <w:hideMark/>
          </w:tcPr>
          <w:p w:rsidR="00E56BF0" w:rsidRPr="00C90523" w:rsidRDefault="006568A3" w:rsidP="00E56BF0">
            <w:pPr>
              <w:spacing w:after="0" w:line="240" w:lineRule="auto"/>
              <w:jc w:val="right"/>
              <w:rPr>
                <w:rFonts w:ascii="Calibri" w:eastAsia="Times New Roman" w:hAnsi="Calibri" w:cs="Times New Roman"/>
                <w:b/>
                <w:bCs/>
                <w:color w:val="000000"/>
                <w:sz w:val="20"/>
                <w:szCs w:val="20"/>
                <w:lang w:eastAsia="es-ES"/>
              </w:rPr>
            </w:pPr>
            <w:r w:rsidRPr="006568A3">
              <w:rPr>
                <w:rFonts w:ascii="Calibri" w:eastAsia="Times New Roman" w:hAnsi="Calibri" w:cs="Times New Roman"/>
                <w:b/>
                <w:bCs/>
                <w:color w:val="000000"/>
                <w:sz w:val="20"/>
                <w:szCs w:val="20"/>
                <w:lang w:eastAsia="es-ES"/>
              </w:rPr>
              <w:t xml:space="preserve">             </w:t>
            </w:r>
            <w:r w:rsidR="00E56BF0" w:rsidRPr="00C90523">
              <w:rPr>
                <w:rFonts w:ascii="Calibri" w:eastAsia="Times New Roman" w:hAnsi="Calibri" w:cs="Times New Roman"/>
                <w:b/>
                <w:bCs/>
                <w:color w:val="000000"/>
                <w:sz w:val="20"/>
                <w:szCs w:val="20"/>
                <w:lang w:eastAsia="es-ES"/>
              </w:rPr>
              <w:t xml:space="preserve">  </w:t>
            </w:r>
          </w:p>
        </w:tc>
        <w:tc>
          <w:tcPr>
            <w:tcW w:w="2410" w:type="dxa"/>
            <w:tcBorders>
              <w:top w:val="nil"/>
              <w:left w:val="nil"/>
              <w:bottom w:val="single" w:sz="4" w:space="0" w:color="auto"/>
              <w:right w:val="nil"/>
            </w:tcBorders>
            <w:shd w:val="clear" w:color="auto" w:fill="auto"/>
            <w:noWrap/>
            <w:vAlign w:val="bottom"/>
            <w:hideMark/>
          </w:tcPr>
          <w:p w:rsidR="00E56BF0" w:rsidRPr="00861276" w:rsidRDefault="00E56BF0" w:rsidP="00E56BF0">
            <w:pPr>
              <w:spacing w:after="0" w:line="240" w:lineRule="auto"/>
              <w:rPr>
                <w:rFonts w:ascii="Calibri" w:eastAsia="Times New Roman" w:hAnsi="Calibri" w:cs="Times New Roman"/>
                <w:color w:val="000000"/>
                <w:sz w:val="20"/>
                <w:szCs w:val="20"/>
                <w:lang w:eastAsia="es-ES"/>
              </w:rPr>
            </w:pPr>
          </w:p>
        </w:tc>
      </w:tr>
      <w:tr w:rsidR="00E56BF0" w:rsidRPr="00C90523" w:rsidTr="00FF42C4">
        <w:trPr>
          <w:trHeight w:val="213"/>
        </w:trPr>
        <w:tc>
          <w:tcPr>
            <w:tcW w:w="11341"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bCs/>
                <w:color w:val="000000"/>
                <w:lang w:eastAsia="es-ES"/>
              </w:rPr>
              <w:t xml:space="preserve">Eixo: </w:t>
            </w:r>
            <w:r w:rsidRPr="006568A3">
              <w:rPr>
                <w:rFonts w:ascii="Calibri" w:eastAsia="Times New Roman" w:hAnsi="Calibri" w:cs="Times New Roman"/>
                <w:b/>
                <w:color w:val="000000"/>
                <w:lang w:eastAsia="es-ES"/>
              </w:rPr>
              <w:t xml:space="preserve">Educação e formação profissional </w:t>
            </w:r>
          </w:p>
        </w:tc>
      </w:tr>
      <w:tr w:rsidR="00E56BF0" w:rsidRPr="00C90523" w:rsidTr="00FF42C4">
        <w:trPr>
          <w:trHeight w:val="1766"/>
        </w:trPr>
        <w:tc>
          <w:tcPr>
            <w:tcW w:w="595" w:type="dxa"/>
            <w:tcBorders>
              <w:top w:val="single" w:sz="4" w:space="0" w:color="auto"/>
              <w:left w:val="single" w:sz="4" w:space="0" w:color="auto"/>
              <w:bottom w:val="nil"/>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3.1.1</w:t>
            </w:r>
          </w:p>
        </w:tc>
        <w:tc>
          <w:tcPr>
            <w:tcW w:w="3061" w:type="dxa"/>
            <w:tcBorders>
              <w:top w:val="single" w:sz="4" w:space="0" w:color="auto"/>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Revisar os instrumentos pedagógicos e materiais didácticos do ensino pré-escolar, básico e secundário para a introdução de conteúdos referentes à promoção da igualdade género e de linguagem não sexista (Ligado ao PNVBG 1.3.)</w:t>
            </w:r>
          </w:p>
        </w:tc>
        <w:tc>
          <w:tcPr>
            <w:tcW w:w="1022" w:type="dxa"/>
            <w:tcBorders>
              <w:top w:val="single" w:sz="4" w:space="0" w:color="auto"/>
              <w:left w:val="nil"/>
              <w:bottom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tcBorders>
              <w:top w:val="single" w:sz="4" w:space="0" w:color="auto"/>
              <w:left w:val="nil"/>
              <w:bottom w:val="single" w:sz="4" w:space="0" w:color="auto"/>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MED</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w:t>
            </w:r>
            <w:r w:rsidRPr="006568A3">
              <w:rPr>
                <w:rFonts w:ascii="Calibri" w:eastAsia="Times New Roman" w:hAnsi="Calibri" w:cs="Times New Roman"/>
                <w:sz w:val="18"/>
                <w:szCs w:val="18"/>
                <w:lang w:eastAsia="es-ES"/>
              </w:rPr>
              <w:br/>
              <w:t>+Orçamento VBG</w:t>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w:t>
            </w:r>
            <w:r w:rsidR="00E56BF0" w:rsidRPr="00C90523">
              <w:rPr>
                <w:rFonts w:ascii="Calibri" w:eastAsia="Times New Roman" w:hAnsi="Calibri" w:cs="Times New Roman"/>
                <w:sz w:val="18"/>
                <w:szCs w:val="18"/>
                <w:lang w:eastAsia="es-ES"/>
              </w:rPr>
              <w:t xml:space="preserve">200.000   </w:t>
            </w:r>
          </w:p>
        </w:tc>
        <w:tc>
          <w:tcPr>
            <w:tcW w:w="2410"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F9.- Reforço da educação pré-escolar. </w:t>
            </w:r>
            <w:r w:rsidRPr="006568A3">
              <w:rPr>
                <w:rFonts w:ascii="Calibri" w:eastAsia="Times New Roman" w:hAnsi="Calibri" w:cs="Times New Roman"/>
                <w:color w:val="000000"/>
                <w:sz w:val="18"/>
                <w:szCs w:val="18"/>
                <w:lang w:eastAsia="es-ES"/>
              </w:rPr>
              <w:br/>
              <w:t xml:space="preserve">F7.- Melhoria da qualidade do ensino básico. </w:t>
            </w:r>
            <w:r w:rsidRPr="006568A3">
              <w:rPr>
                <w:rFonts w:ascii="Calibri" w:eastAsia="Times New Roman" w:hAnsi="Calibri" w:cs="Times New Roman"/>
                <w:color w:val="000000"/>
                <w:sz w:val="18"/>
                <w:szCs w:val="18"/>
                <w:lang w:eastAsia="es-ES"/>
              </w:rPr>
              <w:br/>
              <w:t>F10.- Melhoria da qualidade do ensino secundário.</w:t>
            </w:r>
            <w:r w:rsidRPr="006568A3">
              <w:rPr>
                <w:rFonts w:ascii="Calibri" w:eastAsia="Times New Roman" w:hAnsi="Calibri" w:cs="Times New Roman"/>
                <w:color w:val="000000"/>
                <w:sz w:val="18"/>
                <w:szCs w:val="18"/>
                <w:lang w:eastAsia="es-ES"/>
              </w:rPr>
              <w:br/>
              <w:t xml:space="preserve">F13.- Desenvolvimento do ensino técnico e profissional. </w:t>
            </w:r>
          </w:p>
        </w:tc>
      </w:tr>
      <w:tr w:rsidR="00E56BF0" w:rsidRPr="00C90523" w:rsidTr="00FF42C4">
        <w:trPr>
          <w:trHeight w:val="1550"/>
        </w:trPr>
        <w:tc>
          <w:tcPr>
            <w:tcW w:w="595" w:type="dxa"/>
            <w:tcBorders>
              <w:top w:val="single" w:sz="4" w:space="0" w:color="auto"/>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3.1.2</w:t>
            </w:r>
          </w:p>
        </w:tc>
        <w:tc>
          <w:tcPr>
            <w:tcW w:w="3061"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Integrar a disciplina sobre igualdade de género no curriculum dos cursos de formação profissional e dos cursos públicos ou privados de graduação de docentes e capacitação respectivos dos formadores de docentes (ligado a PNVBG 1.5.).</w:t>
            </w:r>
          </w:p>
        </w:tc>
        <w:tc>
          <w:tcPr>
            <w:tcW w:w="1022" w:type="dxa"/>
            <w:tcBorders>
              <w:top w:val="single" w:sz="4" w:space="0" w:color="auto"/>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MED</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w:t>
            </w:r>
            <w:r w:rsidRPr="006568A3">
              <w:rPr>
                <w:rFonts w:ascii="Calibri" w:eastAsia="Times New Roman" w:hAnsi="Calibri" w:cs="Times New Roman"/>
                <w:sz w:val="18"/>
                <w:szCs w:val="18"/>
                <w:lang w:eastAsia="es-ES"/>
              </w:rPr>
              <w:br/>
              <w:t>(Envolvida também nas medidas 3.1.3, 3.2.1 e 4.1.2)</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w:t>
            </w:r>
            <w:r w:rsidR="00E56BF0" w:rsidRPr="00C90523">
              <w:rPr>
                <w:rFonts w:ascii="Calibri" w:eastAsia="Times New Roman" w:hAnsi="Calibri" w:cs="Times New Roman"/>
                <w:sz w:val="18"/>
                <w:szCs w:val="18"/>
                <w:lang w:eastAsia="es-ES"/>
              </w:rPr>
              <w:t xml:space="preserve">1.584.000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F13.- Desenvolvimento do ensino técnico e profissional.  </w:t>
            </w:r>
            <w:r w:rsidRPr="006568A3">
              <w:rPr>
                <w:rFonts w:ascii="Calibri" w:eastAsia="Times New Roman" w:hAnsi="Calibri" w:cs="Times New Roman"/>
                <w:sz w:val="18"/>
                <w:szCs w:val="18"/>
                <w:lang w:eastAsia="es-ES"/>
              </w:rPr>
              <w:br/>
              <w:t>F11.- Formação e capacitação (ensino superior).</w:t>
            </w:r>
            <w:r w:rsidRPr="006568A3">
              <w:rPr>
                <w:rFonts w:ascii="Calibri" w:eastAsia="Times New Roman" w:hAnsi="Calibri" w:cs="Times New Roman"/>
                <w:sz w:val="18"/>
                <w:szCs w:val="18"/>
                <w:lang w:eastAsia="es-ES"/>
              </w:rPr>
              <w:br/>
              <w:t>I3.- Reforço da qualidade do sistema educativo e desportivo.</w:t>
            </w:r>
          </w:p>
        </w:tc>
      </w:tr>
      <w:tr w:rsidR="00E56BF0" w:rsidRPr="00C90523" w:rsidTr="00FF42C4">
        <w:trPr>
          <w:trHeight w:val="1037"/>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3.1.3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Formar e capacitar em igualdade de género para docentes e dirigentes de todos os níveis de educação, inclusive orientadores de infância (PNVBG 1.4).</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MED</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3.1.2)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F7.- Melhoria da qualidade do ensino básico. </w:t>
            </w:r>
            <w:r w:rsidRPr="006568A3">
              <w:rPr>
                <w:rFonts w:ascii="Calibri" w:eastAsia="Times New Roman" w:hAnsi="Calibri" w:cs="Times New Roman"/>
                <w:color w:val="000000"/>
                <w:sz w:val="18"/>
                <w:szCs w:val="18"/>
                <w:lang w:eastAsia="es-ES"/>
              </w:rPr>
              <w:br/>
              <w:t xml:space="preserve">F9.- Reforço da educação pré-escolar. </w:t>
            </w:r>
            <w:r w:rsidRPr="006568A3">
              <w:rPr>
                <w:rFonts w:ascii="Calibri" w:eastAsia="Times New Roman" w:hAnsi="Calibri" w:cs="Times New Roman"/>
                <w:color w:val="000000"/>
                <w:sz w:val="18"/>
                <w:szCs w:val="18"/>
                <w:lang w:eastAsia="es-ES"/>
              </w:rPr>
              <w:br/>
              <w:t>F10.- Melhoria da qualidade do ensino secundário.</w:t>
            </w:r>
            <w:r w:rsidRPr="006568A3">
              <w:rPr>
                <w:rFonts w:ascii="Calibri" w:eastAsia="Times New Roman" w:hAnsi="Calibri" w:cs="Times New Roman"/>
                <w:color w:val="000000"/>
                <w:sz w:val="18"/>
                <w:szCs w:val="18"/>
                <w:lang w:eastAsia="es-ES"/>
              </w:rPr>
              <w:br/>
              <w:t xml:space="preserve">F13.- Desenvolvimento do ensino técnico e profissional.  </w:t>
            </w:r>
          </w:p>
        </w:tc>
      </w:tr>
      <w:tr w:rsidR="00E56BF0" w:rsidRPr="00C90523" w:rsidTr="00FF42C4">
        <w:trPr>
          <w:trHeight w:val="448"/>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MED</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Ateliers (Orçamentado no PNVBG)</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color w:val="FF0000"/>
                <w:sz w:val="18"/>
                <w:szCs w:val="18"/>
                <w:lang w:eastAsia="es-ES"/>
              </w:rPr>
            </w:pPr>
            <w:r w:rsidRPr="006568A3">
              <w:rPr>
                <w:rFonts w:ascii="Calibri" w:eastAsia="Times New Roman" w:hAnsi="Calibri" w:cs="Times New Roman"/>
                <w:color w:val="FF0000"/>
                <w:sz w:val="18"/>
                <w:szCs w:val="18"/>
                <w:lang w:eastAsia="es-ES"/>
              </w:rPr>
              <w:t>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169"/>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3.2.1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Garantir que os estudos em curso (insucesso escolar e o das crianças fora da escola) têm uma análise de género que permite informar estratégias que respondam às especificidades de rapazes e raparigas.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MED</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color w:val="FF0000"/>
                <w:sz w:val="18"/>
                <w:szCs w:val="18"/>
                <w:lang w:eastAsia="es-ES"/>
              </w:rPr>
            </w:pPr>
            <w:r w:rsidRPr="006568A3">
              <w:rPr>
                <w:rFonts w:ascii="Calibri" w:eastAsia="Times New Roman" w:hAnsi="Calibri" w:cs="Times New Roman"/>
                <w:sz w:val="18"/>
                <w:szCs w:val="18"/>
                <w:lang w:eastAsia="es-ES"/>
              </w:rPr>
              <w:t>(Rúbrica orçamentada na 3.1.2)</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F7.- Melhoria da qualidade do ensino básico. </w:t>
            </w:r>
            <w:r w:rsidRPr="006568A3">
              <w:rPr>
                <w:rFonts w:ascii="Calibri" w:eastAsia="Times New Roman" w:hAnsi="Calibri" w:cs="Times New Roman"/>
                <w:color w:val="000000"/>
                <w:sz w:val="18"/>
                <w:szCs w:val="18"/>
                <w:lang w:eastAsia="es-ES"/>
              </w:rPr>
              <w:br/>
              <w:t xml:space="preserve">F10.- Melhoria da qualidade do ensino secundário. </w:t>
            </w:r>
          </w:p>
        </w:tc>
      </w:tr>
      <w:tr w:rsidR="00E56BF0" w:rsidRPr="00C90523" w:rsidTr="00FF42C4">
        <w:trPr>
          <w:trHeight w:val="1273"/>
        </w:trPr>
        <w:tc>
          <w:tcPr>
            <w:tcW w:w="595" w:type="dxa"/>
            <w:tcBorders>
              <w:top w:val="nil"/>
              <w:left w:val="single" w:sz="4" w:space="0" w:color="auto"/>
              <w:bottom w:val="nil"/>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3.2.2</w:t>
            </w:r>
          </w:p>
        </w:tc>
        <w:tc>
          <w:tcPr>
            <w:tcW w:w="3061"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Colher lições aprendidas sobre a abordagem do sucesso diferencial de rapazes e raparigas no ensino básico e secundário através da troca de experiências internacionais e introdução de novas estratégias. </w:t>
            </w:r>
          </w:p>
        </w:tc>
        <w:tc>
          <w:tcPr>
            <w:tcW w:w="1022"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MED</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internacional</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1.230.000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F7.- Melhoria da qualidade do ensino básico. </w:t>
            </w:r>
            <w:r w:rsidRPr="006568A3">
              <w:rPr>
                <w:rFonts w:ascii="Calibri" w:eastAsia="Times New Roman" w:hAnsi="Calibri" w:cs="Times New Roman"/>
                <w:color w:val="000000"/>
                <w:sz w:val="18"/>
                <w:szCs w:val="18"/>
                <w:lang w:eastAsia="es-ES"/>
              </w:rPr>
              <w:br/>
              <w:t>F10.- Melhoria da qualidade do ensino secundário.</w:t>
            </w:r>
            <w:r w:rsidRPr="006568A3">
              <w:rPr>
                <w:rFonts w:ascii="Calibri" w:eastAsia="Times New Roman" w:hAnsi="Calibri" w:cs="Times New Roman"/>
                <w:color w:val="000000"/>
                <w:sz w:val="18"/>
                <w:szCs w:val="18"/>
                <w:lang w:eastAsia="es-ES"/>
              </w:rPr>
              <w:br/>
              <w:t xml:space="preserve">Parceiros Internacionais </w:t>
            </w:r>
          </w:p>
        </w:tc>
      </w:tr>
      <w:tr w:rsidR="00E56BF0" w:rsidRPr="00C90523" w:rsidTr="00FF42C4">
        <w:trPr>
          <w:trHeight w:val="242"/>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center"/>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3.2.3</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Implementar campanhas orientadas à comunidade educativa para prevenir o abandono escolar e inserção laboral precoce, em particular dos rapazes, respondendo diferenciadamente às especificidades de rapazes e raparigas. </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MED</w:t>
            </w:r>
          </w:p>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Promotor social</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330.000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F7.- Melhoria da qualidade do ensino básico. </w:t>
            </w:r>
            <w:r w:rsidRPr="006568A3">
              <w:rPr>
                <w:rFonts w:ascii="Calibri" w:eastAsia="Times New Roman" w:hAnsi="Calibri" w:cs="Times New Roman"/>
                <w:color w:val="000000"/>
                <w:sz w:val="18"/>
                <w:szCs w:val="18"/>
                <w:lang w:eastAsia="es-ES"/>
              </w:rPr>
              <w:br/>
              <w:t xml:space="preserve">F10.- Melhoria da qualidade do ensino secundário. </w:t>
            </w:r>
          </w:p>
        </w:tc>
      </w:tr>
      <w:tr w:rsidR="00E56BF0" w:rsidRPr="00C90523" w:rsidTr="00FF42C4">
        <w:trPr>
          <w:trHeight w:val="1110"/>
        </w:trPr>
        <w:tc>
          <w:tcPr>
            <w:tcW w:w="595" w:type="dxa"/>
            <w:vMerge/>
            <w:tcBorders>
              <w:top w:val="single" w:sz="4" w:space="0" w:color="auto"/>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3061"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20"/>
                <w:szCs w:val="20"/>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Estratégia de advocacia (sem media com eventos)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w:t>
            </w:r>
            <w:r w:rsidR="00E56BF0" w:rsidRPr="00C90523">
              <w:rPr>
                <w:rFonts w:ascii="Calibri" w:eastAsia="Times New Roman" w:hAnsi="Calibri" w:cs="Times New Roman"/>
                <w:sz w:val="18"/>
                <w:szCs w:val="18"/>
                <w:lang w:eastAsia="es-ES"/>
              </w:rPr>
              <w:t xml:space="preserve">1.260.000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Subtotal Eixo Educação e formação profissional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4.604.000</w:t>
            </w:r>
            <w:r w:rsidRPr="00861276">
              <w:rPr>
                <w:rFonts w:ascii="Calibri" w:eastAsia="Times New Roman" w:hAnsi="Calibri" w:cs="Times New Roman"/>
                <w:b/>
                <w:bCs/>
                <w:color w:val="000000"/>
                <w:sz w:val="20"/>
                <w:szCs w:val="20"/>
                <w:lang w:eastAsia="es-ES"/>
              </w:rPr>
              <w:t xml:space="preserve">    </w:t>
            </w:r>
            <w:r w:rsidR="006568A3" w:rsidRPr="006568A3">
              <w:rPr>
                <w:rFonts w:ascii="Calibri" w:eastAsia="Times New Roman" w:hAnsi="Calibri" w:cs="Times New Roman"/>
                <w:b/>
                <w:bCs/>
                <w:color w:val="000000"/>
                <w:lang w:eastAsia="es-E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861276"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00"/>
        </w:trPr>
        <w:tc>
          <w:tcPr>
            <w:tcW w:w="595" w:type="dxa"/>
            <w:tcBorders>
              <w:top w:val="nil"/>
              <w:left w:val="nil"/>
              <w:bottom w:val="nil"/>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p w:rsidR="00E56BF0" w:rsidRPr="00C90523" w:rsidRDefault="00E56BF0" w:rsidP="00E56BF0">
            <w:pPr>
              <w:spacing w:after="0" w:line="240" w:lineRule="auto"/>
              <w:rPr>
                <w:rFonts w:ascii="Calibri" w:eastAsia="Times New Roman" w:hAnsi="Calibri" w:cs="Times New Roman"/>
                <w:color w:val="000000"/>
                <w:sz w:val="20"/>
                <w:szCs w:val="20"/>
                <w:lang w:eastAsia="es-ES"/>
              </w:rPr>
            </w:pPr>
          </w:p>
          <w:p w:rsidR="00E56BF0" w:rsidRPr="00C90523" w:rsidRDefault="00E56BF0" w:rsidP="00E56BF0">
            <w:pPr>
              <w:spacing w:after="0" w:line="240" w:lineRule="auto"/>
              <w:rPr>
                <w:rFonts w:ascii="Calibri" w:eastAsia="Times New Roman" w:hAnsi="Calibri" w:cs="Times New Roman"/>
                <w:color w:val="000000"/>
                <w:sz w:val="20"/>
                <w:szCs w:val="20"/>
                <w:lang w:eastAsia="es-ES"/>
              </w:rPr>
            </w:pPr>
          </w:p>
          <w:p w:rsidR="00E56BF0" w:rsidRPr="00C90523" w:rsidRDefault="00E56BF0" w:rsidP="00E56BF0">
            <w:pPr>
              <w:spacing w:after="0" w:line="240" w:lineRule="auto"/>
              <w:rPr>
                <w:rFonts w:ascii="Calibri" w:eastAsia="Times New Roman" w:hAnsi="Calibri" w:cs="Times New Roman"/>
                <w:color w:val="000000"/>
                <w:sz w:val="20"/>
                <w:szCs w:val="20"/>
                <w:lang w:eastAsia="es-ES"/>
              </w:rPr>
            </w:pPr>
          </w:p>
          <w:p w:rsidR="006975C5" w:rsidRPr="00C90523" w:rsidRDefault="006975C5" w:rsidP="00E56BF0">
            <w:pPr>
              <w:spacing w:after="0" w:line="240" w:lineRule="auto"/>
              <w:rPr>
                <w:rFonts w:ascii="Calibri" w:eastAsia="Times New Roman" w:hAnsi="Calibri" w:cs="Times New Roman"/>
                <w:color w:val="000000"/>
                <w:sz w:val="20"/>
                <w:szCs w:val="20"/>
                <w:lang w:eastAsia="es-ES"/>
              </w:rPr>
            </w:pPr>
          </w:p>
          <w:p w:rsidR="006975C5" w:rsidRPr="00C90523" w:rsidRDefault="006975C5" w:rsidP="00E56BF0">
            <w:pPr>
              <w:spacing w:after="0" w:line="240" w:lineRule="auto"/>
              <w:rPr>
                <w:rFonts w:ascii="Calibri" w:eastAsia="Times New Roman" w:hAnsi="Calibri" w:cs="Times New Roman"/>
                <w:color w:val="000000"/>
                <w:sz w:val="20"/>
                <w:szCs w:val="20"/>
                <w:lang w:eastAsia="es-ES"/>
              </w:rPr>
            </w:pPr>
          </w:p>
          <w:p w:rsidR="006975C5" w:rsidRPr="00C90523" w:rsidRDefault="006975C5" w:rsidP="00E56BF0">
            <w:pPr>
              <w:spacing w:after="0" w:line="240" w:lineRule="auto"/>
              <w:rPr>
                <w:rFonts w:ascii="Calibri" w:eastAsia="Times New Roman" w:hAnsi="Calibri" w:cs="Times New Roman"/>
                <w:color w:val="000000"/>
                <w:sz w:val="20"/>
                <w:szCs w:val="20"/>
                <w:lang w:eastAsia="es-ES"/>
              </w:rPr>
            </w:pPr>
          </w:p>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3061" w:type="dxa"/>
            <w:tcBorders>
              <w:top w:val="nil"/>
              <w:left w:val="nil"/>
              <w:bottom w:val="nil"/>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022" w:type="dxa"/>
            <w:tcBorders>
              <w:top w:val="nil"/>
              <w:left w:val="nil"/>
              <w:bottom w:val="nil"/>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134" w:type="dxa"/>
            <w:tcBorders>
              <w:top w:val="nil"/>
              <w:left w:val="nil"/>
              <w:bottom w:val="nil"/>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843"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276"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b/>
                <w:bCs/>
                <w:color w:val="000000"/>
                <w:sz w:val="20"/>
                <w:szCs w:val="20"/>
                <w:lang w:eastAsia="es-ES"/>
              </w:rPr>
            </w:pPr>
          </w:p>
        </w:tc>
        <w:tc>
          <w:tcPr>
            <w:tcW w:w="2410"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r>
      <w:tr w:rsidR="00E56BF0" w:rsidRPr="00C90523" w:rsidTr="00FF42C4">
        <w:trPr>
          <w:trHeight w:val="315"/>
        </w:trPr>
        <w:tc>
          <w:tcPr>
            <w:tcW w:w="5812" w:type="dxa"/>
            <w:gridSpan w:val="4"/>
            <w:tcBorders>
              <w:top w:val="nil"/>
              <w:left w:val="nil"/>
              <w:bottom w:val="nil"/>
              <w:right w:val="nil"/>
            </w:tcBorders>
            <w:shd w:val="clear" w:color="000000" w:fill="D8D8D8"/>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Nome do eixo: </w:t>
            </w:r>
            <w:r w:rsidRPr="006568A3">
              <w:rPr>
                <w:rFonts w:ascii="Calibri" w:eastAsia="Times New Roman" w:hAnsi="Calibri" w:cs="Times New Roman"/>
                <w:b/>
                <w:color w:val="000000"/>
                <w:lang w:eastAsia="es-ES"/>
              </w:rPr>
              <w:t>Economia produtiva</w:t>
            </w:r>
          </w:p>
        </w:tc>
        <w:tc>
          <w:tcPr>
            <w:tcW w:w="1843" w:type="dxa"/>
            <w:tcBorders>
              <w:top w:val="nil"/>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color w:val="000000"/>
                <w:lang w:eastAsia="es-ES"/>
              </w:rPr>
            </w:pPr>
            <w:r w:rsidRPr="006568A3">
              <w:rPr>
                <w:rFonts w:ascii="Calibri" w:eastAsia="Times New Roman" w:hAnsi="Calibri" w:cs="Times New Roman"/>
                <w:color w:val="000000"/>
                <w:lang w:eastAsia="es-ES"/>
              </w:rPr>
              <w:t> </w:t>
            </w:r>
          </w:p>
        </w:tc>
        <w:tc>
          <w:tcPr>
            <w:tcW w:w="1276" w:type="dxa"/>
            <w:tcBorders>
              <w:top w:val="nil"/>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color w:val="000000"/>
                <w:lang w:eastAsia="es-ES"/>
              </w:rPr>
            </w:pPr>
            <w:r w:rsidRPr="006568A3">
              <w:rPr>
                <w:rFonts w:ascii="Calibri" w:eastAsia="Times New Roman" w:hAnsi="Calibri" w:cs="Times New Roman"/>
                <w:color w:val="000000"/>
                <w:lang w:eastAsia="es-ES"/>
              </w:rPr>
              <w:t> </w:t>
            </w:r>
          </w:p>
        </w:tc>
        <w:tc>
          <w:tcPr>
            <w:tcW w:w="2410" w:type="dxa"/>
            <w:tcBorders>
              <w:top w:val="nil"/>
              <w:left w:val="nil"/>
              <w:bottom w:val="nil"/>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color w:val="000000"/>
                <w:lang w:eastAsia="es-ES"/>
              </w:rPr>
            </w:pPr>
            <w:r w:rsidRPr="006568A3">
              <w:rPr>
                <w:rFonts w:ascii="Calibri" w:eastAsia="Times New Roman" w:hAnsi="Calibri" w:cs="Times New Roman"/>
                <w:color w:val="000000"/>
                <w:lang w:eastAsia="es-ES"/>
              </w:rPr>
              <w:t> </w:t>
            </w:r>
          </w:p>
        </w:tc>
      </w:tr>
      <w:tr w:rsidR="00E56BF0" w:rsidRPr="00C90523" w:rsidTr="00FF42C4">
        <w:trPr>
          <w:trHeight w:val="855"/>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4.1.1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Realizar acções de formações/acompanhar o desenvolvimento de cadeia de valores numa perspectiva de género nas áreas de investimento identificadas no DECRP III (turismo, economias criativas, agronegócios, etc.) para a diversificação económica.</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MTIDE/</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ADEI</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Assistência técnica (Acompanhamento) </w:t>
            </w:r>
            <w:r w:rsidRPr="006568A3">
              <w:rPr>
                <w:rFonts w:ascii="Calibri" w:eastAsia="Times New Roman" w:hAnsi="Calibri" w:cs="Times New Roman"/>
                <w:color w:val="000000"/>
                <w:sz w:val="18"/>
                <w:szCs w:val="18"/>
                <w:lang w:eastAsia="es-ES"/>
              </w:rPr>
              <w:br/>
              <w:t>(Envolvida também na medida 4.3.2 e 4.3.3)</w:t>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3.168.000   </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F2 Melhoria do agro-negócio e das fileiras agro-pecuárias </w:t>
            </w:r>
            <w:r w:rsidRPr="006568A3">
              <w:rPr>
                <w:rFonts w:ascii="Calibri" w:eastAsia="Times New Roman" w:hAnsi="Calibri" w:cs="Times New Roman"/>
                <w:color w:val="000000"/>
                <w:sz w:val="18"/>
                <w:szCs w:val="18"/>
                <w:lang w:eastAsia="es-ES"/>
              </w:rPr>
              <w:br/>
              <w:t>F16.- Promoção da capacitação das MPMEs e construção dos clusters estratégicos</w:t>
            </w:r>
            <w:r w:rsidRPr="006568A3">
              <w:rPr>
                <w:rFonts w:ascii="Calibri" w:eastAsia="Times New Roman" w:hAnsi="Calibri" w:cs="Times New Roman"/>
                <w:color w:val="000000"/>
                <w:sz w:val="18"/>
                <w:szCs w:val="18"/>
                <w:lang w:eastAsia="es-ES"/>
              </w:rPr>
              <w:br/>
              <w:t xml:space="preserve">Parceiros Internacionais </w:t>
            </w:r>
          </w:p>
        </w:tc>
      </w:tr>
      <w:tr w:rsidR="00E56BF0" w:rsidRPr="00C90523" w:rsidTr="00FF42C4">
        <w:trPr>
          <w:trHeight w:val="542"/>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Assistência técnica especializada Internacional (21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1.049.000   </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424"/>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(5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940.000   </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394"/>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4.1.2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Implementar medidas para que os programas de microcrédito, crédito e de promoção empresarial incluam serviços de apoio que permitam o desenvolvimento, crescimento e sustentabilidade do empreendedorismo das mulheres.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MTIDE/</w:t>
            </w:r>
          </w:p>
          <w:p w:rsidR="00E56BF0" w:rsidRPr="00C90523" w:rsidRDefault="006568A3" w:rsidP="00E56BF0">
            <w:pPr>
              <w:spacing w:after="0" w:line="240" w:lineRule="auto"/>
              <w:rPr>
                <w:rFonts w:ascii="Calibri" w:eastAsia="Times New Roman" w:hAnsi="Calibri" w:cs="Times New Roman"/>
                <w:color w:val="00B050"/>
                <w:sz w:val="18"/>
                <w:szCs w:val="18"/>
                <w:lang w:eastAsia="es-ES"/>
              </w:rPr>
            </w:pPr>
            <w:r w:rsidRPr="006568A3">
              <w:rPr>
                <w:rFonts w:ascii="Calibri" w:eastAsia="Times New Roman" w:hAnsi="Calibri" w:cs="Times New Roman"/>
                <w:sz w:val="18"/>
                <w:szCs w:val="18"/>
                <w:lang w:eastAsia="es-ES"/>
              </w:rPr>
              <w:t>ADEI</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(Envolvida também na medida 4.1.3)</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600.000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F16.- Promoção da capacitação das MPMEs e construção dos clusters estratégicos</w:t>
            </w:r>
            <w:r w:rsidRPr="006568A3">
              <w:rPr>
                <w:rFonts w:ascii="Calibri" w:eastAsia="Times New Roman" w:hAnsi="Calibri" w:cs="Times New Roman"/>
                <w:color w:val="000000"/>
                <w:sz w:val="18"/>
                <w:szCs w:val="18"/>
                <w:lang w:eastAsia="es-ES"/>
              </w:rPr>
              <w:br/>
              <w:t xml:space="preserve">Parceiros Internacionais </w:t>
            </w:r>
          </w:p>
        </w:tc>
      </w:tr>
      <w:tr w:rsidR="00E56BF0" w:rsidRPr="00C90523" w:rsidTr="00FF42C4">
        <w:trPr>
          <w:trHeight w:val="57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4.1.3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um diagnóstico das necessidades das mulheres, incluindo as rurais, envolvidas em programas de promoção do empreendedorismo em matéria de esforço e do tempo dedicado as tarefas dos cuidados e domésticas, e formulação de medidas para a sua redução.</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MTIDE/</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ADEI</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4.1.2)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F16.- Promoção da capacitação das MPMEs e construção dos clusters estratégicos </w:t>
            </w:r>
            <w:r w:rsidRPr="006568A3">
              <w:rPr>
                <w:rFonts w:ascii="Calibri" w:eastAsia="Times New Roman" w:hAnsi="Calibri" w:cs="Times New Roman"/>
                <w:color w:val="000000"/>
                <w:sz w:val="18"/>
                <w:szCs w:val="18"/>
                <w:lang w:eastAsia="es-ES"/>
              </w:rPr>
              <w:br/>
              <w:t>I27.- Acesso aos pobres dos serviços sociais de base e ao rendimento.</w:t>
            </w:r>
            <w:r w:rsidRPr="006568A3">
              <w:rPr>
                <w:rFonts w:ascii="Calibri" w:eastAsia="Times New Roman" w:hAnsi="Calibri" w:cs="Times New Roman"/>
                <w:color w:val="000000"/>
                <w:sz w:val="18"/>
                <w:szCs w:val="18"/>
                <w:lang w:eastAsia="es-ES"/>
              </w:rPr>
              <w:br/>
              <w:t xml:space="preserve">I28.- Programa mais qualidade mais comunidade e micro realizações. </w:t>
            </w:r>
          </w:p>
        </w:tc>
      </w:tr>
      <w:tr w:rsidR="00E56BF0" w:rsidRPr="00C90523" w:rsidTr="00FF42C4">
        <w:trPr>
          <w:trHeight w:val="238"/>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1.300.000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30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Publicação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250.000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899"/>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Evento de apresentação (Atelier local 30 participantes) 1 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91.000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345"/>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4.2.1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uma análise das áreas com maior potencial de empregabilidade de mulheres e homens e ligar aos programas de orientação vocacional e profissional, numa perspectiva de diminuição da segregação do mercado de trabalho.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(sem inquérito)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400.000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F14.- Promoção do emprego e formação profissional </w:t>
            </w:r>
            <w:r w:rsidRPr="006568A3">
              <w:rPr>
                <w:rFonts w:ascii="Calibri" w:eastAsia="Times New Roman" w:hAnsi="Calibri" w:cs="Times New Roman"/>
                <w:color w:val="000000"/>
                <w:sz w:val="18"/>
                <w:szCs w:val="18"/>
                <w:lang w:eastAsia="es-ES"/>
              </w:rPr>
              <w:br/>
              <w:t xml:space="preserve">F13.- Desenvolvimento do ensino técnico e profissional </w:t>
            </w:r>
            <w:r w:rsidRPr="006568A3">
              <w:rPr>
                <w:rFonts w:ascii="Calibri" w:eastAsia="Times New Roman" w:hAnsi="Calibri" w:cs="Times New Roman"/>
                <w:color w:val="000000"/>
                <w:sz w:val="18"/>
                <w:szCs w:val="18"/>
                <w:lang w:eastAsia="es-ES"/>
              </w:rPr>
              <w:br/>
              <w:t xml:space="preserve">Parceiros Internacionais </w:t>
            </w:r>
          </w:p>
        </w:tc>
      </w:tr>
      <w:tr w:rsidR="00E56BF0" w:rsidRPr="00C90523" w:rsidTr="00FF42C4">
        <w:trPr>
          <w:trHeight w:val="30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Facilitador</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120.000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087"/>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(2 dias)</w:t>
            </w:r>
            <w:r w:rsidRPr="006568A3">
              <w:rPr>
                <w:rFonts w:ascii="Calibri" w:eastAsia="Times New Roman" w:hAnsi="Calibri" w:cs="Times New Roman"/>
                <w:sz w:val="18"/>
                <w:szCs w:val="18"/>
                <w:lang w:eastAsia="es-ES"/>
              </w:rPr>
              <w:br/>
              <w:t>(Formação profissional</w:t>
            </w:r>
            <w:r w:rsidRPr="006568A3">
              <w:rPr>
                <w:rFonts w:ascii="Calibri" w:eastAsia="Times New Roman" w:hAnsi="Calibri" w:cs="Times New Roman"/>
                <w:sz w:val="18"/>
                <w:szCs w:val="18"/>
                <w:lang w:eastAsia="es-ES"/>
              </w:rPr>
              <w:br/>
              <w:t>Professores ensino secundário)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1.040.000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366"/>
        </w:trPr>
        <w:tc>
          <w:tcPr>
            <w:tcW w:w="595" w:type="dxa"/>
            <w:tcBorders>
              <w:top w:val="nil"/>
              <w:left w:val="single" w:sz="4" w:space="0" w:color="auto"/>
              <w:bottom w:val="nil"/>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4.2.2</w:t>
            </w:r>
          </w:p>
        </w:tc>
        <w:tc>
          <w:tcPr>
            <w:tcW w:w="3061"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Inserir nos programas de formação profissional com potencial de empregabilidade, atuais ou em desenvolvimento, medidas de ação afirmativa do acesso equilibrado das mulheres.</w:t>
            </w:r>
          </w:p>
        </w:tc>
        <w:tc>
          <w:tcPr>
            <w:tcW w:w="1022"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color w:val="FF0000"/>
                <w:sz w:val="18"/>
                <w:szCs w:val="18"/>
                <w:lang w:eastAsia="es-ES"/>
              </w:rPr>
            </w:pPr>
            <w:r w:rsidRPr="006568A3">
              <w:rPr>
                <w:rFonts w:ascii="Calibri" w:eastAsia="Times New Roman" w:hAnsi="Calibri" w:cs="Times New Roman"/>
                <w:sz w:val="18"/>
                <w:szCs w:val="18"/>
                <w:lang w:eastAsia="es-ES"/>
              </w:rPr>
              <w:t>(Rúbrica já orçamentada na 3.1.2)</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F14.- Promoção do emprego e formação profissional </w:t>
            </w:r>
            <w:r w:rsidRPr="006568A3">
              <w:rPr>
                <w:rFonts w:ascii="Calibri" w:eastAsia="Times New Roman" w:hAnsi="Calibri" w:cs="Times New Roman"/>
                <w:color w:val="000000"/>
                <w:sz w:val="18"/>
                <w:szCs w:val="18"/>
                <w:lang w:eastAsia="es-ES"/>
              </w:rPr>
              <w:br/>
              <w:t xml:space="preserve">F13.- Desenvolvimento do ensino técnico e profissional  </w:t>
            </w:r>
          </w:p>
        </w:tc>
      </w:tr>
      <w:tr w:rsidR="00E56BF0" w:rsidRPr="00C90523" w:rsidTr="00FF42C4">
        <w:trPr>
          <w:trHeight w:val="833"/>
        </w:trPr>
        <w:tc>
          <w:tcPr>
            <w:tcW w:w="595" w:type="dxa"/>
            <w:tcBorders>
              <w:top w:val="single" w:sz="4" w:space="0" w:color="auto"/>
              <w:left w:val="single" w:sz="4" w:space="0" w:color="auto"/>
              <w:bottom w:val="nil"/>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4.2.3</w:t>
            </w:r>
          </w:p>
        </w:tc>
        <w:tc>
          <w:tcPr>
            <w:tcW w:w="3061" w:type="dxa"/>
            <w:tcBorders>
              <w:top w:val="single" w:sz="4" w:space="0" w:color="auto"/>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Desenvolver uma campanha de sensibilização visando às mulheres sobre a empregabilidade de áreas de ponta.</w:t>
            </w:r>
          </w:p>
        </w:tc>
        <w:tc>
          <w:tcPr>
            <w:tcW w:w="1022" w:type="dxa"/>
            <w:tcBorders>
              <w:top w:val="single" w:sz="4" w:space="0" w:color="auto"/>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IEFP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Estratégia de advocacia (sem media)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630.000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F14.- Promoção do emprego e formação profissional  </w:t>
            </w:r>
          </w:p>
        </w:tc>
      </w:tr>
      <w:tr w:rsidR="00E56BF0" w:rsidRPr="00C90523" w:rsidTr="00FF42C4">
        <w:trPr>
          <w:trHeight w:val="378"/>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4.3.1</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uma análise dos estereótipos de género e dinâmicas sociais, incluindo de descriminação na contratação, que impedem o acesso das mulheres ao emprego.</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IEFP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1.500.000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F14.- Promoção do emprego e formação profissional  </w:t>
            </w:r>
          </w:p>
        </w:tc>
      </w:tr>
      <w:tr w:rsidR="00E56BF0" w:rsidRPr="00C90523" w:rsidTr="00FF42C4">
        <w:trPr>
          <w:trHeight w:val="300"/>
        </w:trPr>
        <w:tc>
          <w:tcPr>
            <w:tcW w:w="595" w:type="dxa"/>
            <w:vMerge/>
            <w:tcBorders>
              <w:top w:val="single" w:sz="4" w:space="0" w:color="auto"/>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Publicação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250.000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743"/>
        </w:trPr>
        <w:tc>
          <w:tcPr>
            <w:tcW w:w="595" w:type="dxa"/>
            <w:vMerge/>
            <w:tcBorders>
              <w:top w:val="single" w:sz="4" w:space="0" w:color="auto"/>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Evento de apresentação (Atelier local 30 participantes) 1 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91.000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57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4.3.2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Desenhar e implementar campanha de sensibilização orientadas aos empregadores com enfoque na redução dos estereótipos de género no mundo laboral.</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IEFP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Estratégia de advocacia (com media sem spto)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1.530.000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F42.- Melhoria das condições de trabalho e das relações entre os parceiros sociais </w:t>
            </w:r>
          </w:p>
        </w:tc>
      </w:tr>
      <w:tr w:rsidR="00E56BF0" w:rsidRPr="00C90523" w:rsidTr="00FF42C4">
        <w:trPr>
          <w:trHeight w:val="581"/>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4.1.1)</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051"/>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4.3.3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Promover ações para potenciar as condiciones de emprego digno e dar a conhecer os direitos gerais e específicos das mulheres no âmbito do laboral, particularmente as jovens e as empregadas domésticas, tomando em conta tanto o sector formal como informal.</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2016-2018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IEFP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4.1.1)</w:t>
            </w:r>
          </w:p>
        </w:tc>
        <w:tc>
          <w:tcPr>
            <w:tcW w:w="2410"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F42.- Melhoria das condições de trabalho e das relações entre os parceiros sociais.</w:t>
            </w:r>
          </w:p>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F32.- Protecção dos direitos dos cidadãos</w:t>
            </w:r>
          </w:p>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tc>
      </w:tr>
      <w:tr w:rsidR="00E56BF0" w:rsidRPr="00C90523" w:rsidTr="00FF42C4">
        <w:trPr>
          <w:trHeight w:val="1506"/>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Estratégia de advocacia (com media) para promover a inserção no INPS. Sensibilizar aos sindicatos, associações empresariais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3.030.000   </w:t>
            </w:r>
          </w:p>
        </w:tc>
        <w:tc>
          <w:tcPr>
            <w:tcW w:w="2410"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664"/>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de formação ao orientadores legais (casa de direito, etc.)</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660.000   </w:t>
            </w:r>
          </w:p>
        </w:tc>
        <w:tc>
          <w:tcPr>
            <w:tcW w:w="2410"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418"/>
        </w:trPr>
        <w:tc>
          <w:tcPr>
            <w:tcW w:w="595" w:type="dxa"/>
            <w:vMerge w:val="restart"/>
            <w:tcBorders>
              <w:top w:val="nil"/>
              <w:left w:val="single" w:sz="4" w:space="0" w:color="auto"/>
              <w:bottom w:val="single" w:sz="4" w:space="0" w:color="000000"/>
              <w:right w:val="nil"/>
            </w:tcBorders>
            <w:shd w:val="clear" w:color="000000" w:fill="FFFFFF"/>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4.4.1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uma caracterização do acesso à terra, à água, à energia, e ao crédito e aos serviços de micro-finanzas das mulheres rurais e elaborar propostas de intervenção.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2015-2016</w:t>
            </w:r>
          </w:p>
        </w:tc>
        <w:tc>
          <w:tcPr>
            <w:tcW w:w="1134" w:type="dxa"/>
            <w:vMerge w:val="restart"/>
            <w:tcBorders>
              <w:top w:val="nil"/>
              <w:left w:val="nil"/>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MDR</w:t>
            </w:r>
          </w:p>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861276" w:rsidRDefault="00E56BF0" w:rsidP="00E56BF0">
            <w:pPr>
              <w:spacing w:after="0" w:line="240" w:lineRule="auto"/>
              <w:jc w:val="right"/>
              <w:rPr>
                <w:rFonts w:ascii="Calibri" w:eastAsia="Times New Roman" w:hAnsi="Calibri" w:cs="Times New Roman"/>
                <w:sz w:val="18"/>
                <w:szCs w:val="18"/>
                <w:lang w:eastAsia="es-ES"/>
              </w:rPr>
            </w:pPr>
            <w:r w:rsidRPr="00C90523">
              <w:rPr>
                <w:rFonts w:ascii="Calibri" w:eastAsia="Times New Roman" w:hAnsi="Calibri" w:cs="Times New Roman"/>
                <w:sz w:val="18"/>
                <w:szCs w:val="18"/>
                <w:lang w:eastAsia="es-ES"/>
              </w:rPr>
              <w:t xml:space="preserve">         </w:t>
            </w:r>
            <w:r w:rsidRPr="00861276">
              <w:rPr>
                <w:rFonts w:ascii="Calibri" w:eastAsia="Times New Roman" w:hAnsi="Calibri" w:cs="Times New Roman"/>
                <w:sz w:val="18"/>
                <w:szCs w:val="18"/>
                <w:lang w:eastAsia="es-ES"/>
              </w:rPr>
              <w:t xml:space="preserve">1.500.000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F2 Melhoria do agro-negócio e das fileiras agro-pecuárias.  </w:t>
            </w:r>
          </w:p>
        </w:tc>
      </w:tr>
      <w:tr w:rsidR="00E56BF0" w:rsidRPr="00C90523" w:rsidTr="00FF42C4">
        <w:trPr>
          <w:trHeight w:val="1091"/>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1/2 tempo</w:t>
            </w:r>
            <w:r w:rsidRPr="006568A3">
              <w:rPr>
                <w:rFonts w:ascii="Calibri" w:eastAsia="Times New Roman" w:hAnsi="Calibri" w:cs="Times New Roman"/>
                <w:sz w:val="18"/>
                <w:szCs w:val="18"/>
                <w:lang w:eastAsia="es-ES"/>
              </w:rPr>
              <w:br/>
              <w:t>(Envolvida também na medida 4.4.3)</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E56BF0" w:rsidP="00E56BF0">
            <w:pPr>
              <w:spacing w:after="0" w:line="240" w:lineRule="auto"/>
              <w:jc w:val="right"/>
              <w:rPr>
                <w:rFonts w:ascii="Calibri" w:eastAsia="Times New Roman" w:hAnsi="Calibri" w:cs="Times New Roman"/>
                <w:sz w:val="18"/>
                <w:szCs w:val="18"/>
                <w:lang w:eastAsia="es-ES"/>
              </w:rPr>
            </w:pPr>
            <w:r w:rsidRPr="00C90523">
              <w:rPr>
                <w:rFonts w:ascii="Calibri" w:eastAsia="Times New Roman" w:hAnsi="Calibri" w:cs="Times New Roman"/>
                <w:sz w:val="18"/>
                <w:szCs w:val="18"/>
                <w:lang w:eastAsia="es-ES"/>
              </w:rPr>
              <w:t xml:space="preserve">1.584.000   </w:t>
            </w:r>
          </w:p>
        </w:tc>
        <w:tc>
          <w:tcPr>
            <w:tcW w:w="2410" w:type="dxa"/>
            <w:tcBorders>
              <w:top w:val="nil"/>
              <w:left w:val="nil"/>
              <w:bottom w:val="single" w:sz="4" w:space="0" w:color="auto"/>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 xml:space="preserve"> MCA </w:t>
            </w:r>
          </w:p>
        </w:tc>
      </w:tr>
      <w:tr w:rsidR="00E56BF0" w:rsidRPr="00C90523" w:rsidTr="00FF42C4">
        <w:trPr>
          <w:trHeight w:val="1135"/>
        </w:trPr>
        <w:tc>
          <w:tcPr>
            <w:tcW w:w="595" w:type="dxa"/>
            <w:tcBorders>
              <w:top w:val="nil"/>
              <w:left w:val="single" w:sz="4" w:space="0" w:color="auto"/>
              <w:bottom w:val="nil"/>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4.4.2</w:t>
            </w:r>
          </w:p>
        </w:tc>
        <w:tc>
          <w:tcPr>
            <w:tcW w:w="3061" w:type="dxa"/>
            <w:tcBorders>
              <w:top w:val="nil"/>
              <w:left w:val="nil"/>
              <w:bottom w:val="nil"/>
              <w:right w:val="single" w:sz="4" w:space="0" w:color="auto"/>
            </w:tcBorders>
            <w:shd w:val="clear" w:color="auto" w:fill="auto"/>
            <w:hideMark/>
          </w:tcPr>
          <w:p w:rsidR="00E56BF0" w:rsidRPr="00C90523" w:rsidRDefault="006568A3" w:rsidP="006975C5">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Apoiar a realização de diagnósticos de género nas zonas de intervenção do POSER com vista a informar medidas de empoderamento socioeconómico das mulheres rurais.</w:t>
            </w:r>
          </w:p>
        </w:tc>
        <w:tc>
          <w:tcPr>
            <w:tcW w:w="1022" w:type="dxa"/>
            <w:tcBorders>
              <w:top w:val="nil"/>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2015-2017</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MJEDRH/POSER</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4.000.000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I27.- Acesso aos pobres dos serviços sociais de base e ao rendimento - Programa POSER. </w:t>
            </w:r>
          </w:p>
        </w:tc>
      </w:tr>
      <w:tr w:rsidR="00E56BF0" w:rsidRPr="00C90523" w:rsidTr="00FF42C4">
        <w:trPr>
          <w:trHeight w:val="487"/>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4.4.3</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Analisar os constrangimentos de género na agricultura, tendo em conta a sua importância no contexto da segurança alimentar e implementação de medidas de apoio no quadro dos programas em curso (bacias hidrográficas, agronegócios, etc.).</w:t>
            </w:r>
          </w:p>
        </w:tc>
        <w:tc>
          <w:tcPr>
            <w:tcW w:w="1022"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MDR</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t xml:space="preserve">1/2 tempo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color w:val="FF0000"/>
                <w:sz w:val="18"/>
                <w:szCs w:val="18"/>
                <w:lang w:eastAsia="es-ES"/>
              </w:rPr>
            </w:pPr>
            <w:r w:rsidRPr="006568A3">
              <w:rPr>
                <w:rFonts w:ascii="Calibri" w:eastAsia="Times New Roman" w:hAnsi="Calibri" w:cs="Times New Roman"/>
                <w:sz w:val="18"/>
                <w:szCs w:val="18"/>
                <w:lang w:eastAsia="es-ES"/>
              </w:rPr>
              <w:t>(Rúbrica orçamentada na 4.4.1)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F11.- Promoção do direito a alimentação e acesso aos serviços sociais.</w:t>
            </w:r>
            <w:r w:rsidRPr="006568A3">
              <w:rPr>
                <w:rFonts w:ascii="Calibri" w:eastAsia="Times New Roman" w:hAnsi="Calibri" w:cs="Times New Roman"/>
                <w:color w:val="000000"/>
                <w:sz w:val="18"/>
                <w:szCs w:val="18"/>
                <w:lang w:eastAsia="es-ES"/>
              </w:rPr>
              <w:br/>
              <w:t xml:space="preserve">F2 Melhoria do agro-negócio e das fileiras agro-pecuárias. </w:t>
            </w:r>
            <w:r w:rsidRPr="006568A3">
              <w:rPr>
                <w:rFonts w:ascii="Calibri" w:eastAsia="Times New Roman" w:hAnsi="Calibri" w:cs="Times New Roman"/>
                <w:color w:val="000000"/>
                <w:sz w:val="18"/>
                <w:szCs w:val="18"/>
                <w:lang w:eastAsia="es-ES"/>
              </w:rPr>
              <w:br/>
              <w:t>I1 Mobilização de água e ordenamento das bacias hidrográficas.</w:t>
            </w:r>
          </w:p>
        </w:tc>
      </w:tr>
      <w:tr w:rsidR="00E56BF0" w:rsidRPr="00C90523" w:rsidTr="00FF42C4">
        <w:trPr>
          <w:trHeight w:val="516"/>
        </w:trPr>
        <w:tc>
          <w:tcPr>
            <w:tcW w:w="595" w:type="dxa"/>
            <w:vMerge/>
            <w:tcBorders>
              <w:top w:val="single" w:sz="4" w:space="0" w:color="auto"/>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(sem inquérito)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400.000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658"/>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4.4.4</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Criar uma linha especial dentro do fundo de ambiente para projectos que visem ao desenho de alternativas económicas para as mulheres que não impliquem a exploração insustentável dos recursos naturais (reconversão de actividades tais como a apanha de areia, etc.).</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861276" w:rsidRDefault="00E56BF0" w:rsidP="00E56BF0">
            <w:pPr>
              <w:spacing w:after="0" w:line="240" w:lineRule="auto"/>
              <w:rPr>
                <w:rFonts w:ascii="Calibri" w:eastAsia="Times New Roman" w:hAnsi="Calibri" w:cs="Times New Roman"/>
                <w:sz w:val="18"/>
                <w:szCs w:val="18"/>
                <w:lang w:eastAsia="es-ES"/>
              </w:rPr>
            </w:pPr>
            <w:r w:rsidRPr="00861276">
              <w:rPr>
                <w:rFonts w:ascii="Calibri" w:eastAsia="Times New Roman" w:hAnsi="Calibri" w:cs="Times New Roman"/>
                <w:sz w:val="18"/>
                <w:szCs w:val="18"/>
                <w:lang w:eastAsia="es-ES"/>
              </w:rPr>
              <w:t>MAHOT/</w:t>
            </w:r>
          </w:p>
          <w:p w:rsidR="00E56BF0" w:rsidRPr="00C90523" w:rsidRDefault="00E56BF0" w:rsidP="00E56BF0">
            <w:pPr>
              <w:spacing w:after="0" w:line="240" w:lineRule="auto"/>
              <w:rPr>
                <w:rFonts w:ascii="Calibri" w:eastAsia="Times New Roman" w:hAnsi="Calibri" w:cs="Times New Roman"/>
                <w:sz w:val="18"/>
                <w:szCs w:val="18"/>
                <w:lang w:eastAsia="es-ES"/>
              </w:rPr>
            </w:pPr>
            <w:r w:rsidRPr="00C90523">
              <w:rPr>
                <w:rFonts w:ascii="Calibri" w:eastAsia="Times New Roman" w:hAnsi="Calibri" w:cs="Times New Roman"/>
                <w:sz w:val="18"/>
                <w:szCs w:val="18"/>
                <w:lang w:eastAsia="es-ES"/>
              </w:rPr>
              <w:t>DGA</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FF42C4" w:rsidP="00E56BF0">
            <w:pPr>
              <w:spacing w:after="0" w:line="240" w:lineRule="auto"/>
              <w:rPr>
                <w:rFonts w:ascii="Calibri" w:eastAsia="Times New Roman" w:hAnsi="Calibri" w:cs="Times New Roman"/>
                <w:sz w:val="18"/>
                <w:szCs w:val="18"/>
                <w:lang w:eastAsia="es-ES"/>
              </w:rPr>
            </w:pPr>
            <w:r w:rsidRPr="00C90523">
              <w:rPr>
                <w:rFonts w:ascii="Calibri" w:eastAsia="Times New Roman" w:hAnsi="Calibri" w:cs="Times New Roman"/>
                <w:sz w:val="18"/>
                <w:szCs w:val="18"/>
                <w:lang w:eastAsia="es-ES"/>
              </w:rPr>
              <w:t>Asistencia</w:t>
            </w:r>
            <w:r w:rsidR="00E56BF0" w:rsidRPr="00C90523">
              <w:rPr>
                <w:rFonts w:ascii="Calibri" w:eastAsia="Times New Roman" w:hAnsi="Calibri" w:cs="Times New Roman"/>
                <w:sz w:val="18"/>
                <w:szCs w:val="18"/>
                <w:lang w:eastAsia="es-ES"/>
              </w:rPr>
              <w:t xml:space="preserve"> técnica especializada  (1/2 tempo)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E56BF0" w:rsidP="00E56BF0">
            <w:pPr>
              <w:spacing w:after="0" w:line="240" w:lineRule="auto"/>
              <w:jc w:val="right"/>
              <w:rPr>
                <w:rFonts w:ascii="Calibri" w:eastAsia="Times New Roman" w:hAnsi="Calibri" w:cs="Times New Roman"/>
                <w:sz w:val="18"/>
                <w:szCs w:val="18"/>
                <w:lang w:eastAsia="es-ES"/>
              </w:rPr>
            </w:pPr>
            <w:r w:rsidRPr="00C90523">
              <w:rPr>
                <w:rFonts w:ascii="Calibri" w:eastAsia="Times New Roman" w:hAnsi="Calibri" w:cs="Times New Roman"/>
                <w:sz w:val="18"/>
                <w:szCs w:val="18"/>
                <w:lang w:eastAsia="es-ES"/>
              </w:rPr>
              <w:t xml:space="preserve">  2.400.000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 F22 Consolidação e requalificação ambiental</w:t>
            </w:r>
            <w:r w:rsidRPr="006568A3">
              <w:rPr>
                <w:rFonts w:ascii="Calibri" w:eastAsia="Times New Roman" w:hAnsi="Calibri" w:cs="Times New Roman"/>
                <w:color w:val="000000"/>
                <w:sz w:val="18"/>
                <w:szCs w:val="18"/>
                <w:lang w:eastAsia="es-ES"/>
              </w:rPr>
              <w:br/>
              <w:t xml:space="preserve">Fundo do ambiente do DGA  procedente da taxa ecológica </w:t>
            </w:r>
            <w:r w:rsidRPr="006568A3">
              <w:rPr>
                <w:rFonts w:ascii="Calibri" w:eastAsia="Times New Roman" w:hAnsi="Calibri" w:cs="Times New Roman"/>
                <w:color w:val="000000"/>
                <w:sz w:val="18"/>
                <w:szCs w:val="18"/>
                <w:lang w:eastAsia="es-ES"/>
              </w:rPr>
              <w:br/>
              <w:t>(719 milhões no OE 2015)</w:t>
            </w:r>
            <w:r w:rsidRPr="006568A3">
              <w:rPr>
                <w:rFonts w:ascii="Calibri" w:eastAsia="Times New Roman" w:hAnsi="Calibri" w:cs="Times New Roman"/>
                <w:color w:val="000000"/>
                <w:sz w:val="18"/>
                <w:szCs w:val="18"/>
                <w:lang w:eastAsia="es-ES"/>
              </w:rPr>
              <w:br/>
              <w:t xml:space="preserve">Parceiros Internacionais </w:t>
            </w: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Subtotal Eixo Economia produtiva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26.533.000</w:t>
            </w:r>
            <w:r w:rsidRPr="00861276">
              <w:rPr>
                <w:rFonts w:ascii="Calibri" w:eastAsia="Times New Roman" w:hAnsi="Calibri" w:cs="Times New Roman"/>
                <w:b/>
                <w:bCs/>
                <w:color w:val="000000"/>
                <w:lang w:eastAsia="es-ES"/>
              </w:rPr>
              <w:t xml:space="preserve">  </w:t>
            </w:r>
            <w:r w:rsidR="006568A3" w:rsidRPr="006568A3">
              <w:rPr>
                <w:rFonts w:ascii="Calibri" w:eastAsia="Times New Roman" w:hAnsi="Calibri" w:cs="Times New Roman"/>
                <w:b/>
                <w:bCs/>
                <w:color w:val="000000"/>
                <w:lang w:eastAsia="es-E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861276"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60"/>
        </w:trPr>
        <w:tc>
          <w:tcPr>
            <w:tcW w:w="595"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20"/>
                <w:szCs w:val="20"/>
                <w:lang w:eastAsia="es-ES"/>
              </w:rPr>
            </w:pPr>
          </w:p>
        </w:tc>
        <w:tc>
          <w:tcPr>
            <w:tcW w:w="3061"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022"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134"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843" w:type="dxa"/>
            <w:tcBorders>
              <w:top w:val="nil"/>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276" w:type="dxa"/>
            <w:tcBorders>
              <w:top w:val="nil"/>
              <w:left w:val="nil"/>
              <w:bottom w:val="single" w:sz="4" w:space="0" w:color="auto"/>
              <w:right w:val="nil"/>
            </w:tcBorders>
            <w:shd w:val="clear" w:color="auto" w:fill="auto"/>
            <w:noWrap/>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            </w:t>
            </w:r>
          </w:p>
        </w:tc>
        <w:tc>
          <w:tcPr>
            <w:tcW w:w="2410" w:type="dxa"/>
            <w:tcBorders>
              <w:top w:val="nil"/>
              <w:left w:val="nil"/>
              <w:bottom w:val="single" w:sz="4" w:space="0" w:color="auto"/>
              <w:right w:val="nil"/>
            </w:tcBorders>
            <w:shd w:val="clear" w:color="auto" w:fill="auto"/>
            <w:noWrap/>
            <w:vAlign w:val="bottom"/>
            <w:hideMark/>
          </w:tcPr>
          <w:p w:rsidR="00E56BF0" w:rsidRPr="00861276" w:rsidRDefault="00E56BF0" w:rsidP="00E56BF0">
            <w:pPr>
              <w:spacing w:after="0" w:line="240" w:lineRule="auto"/>
              <w:rPr>
                <w:rFonts w:ascii="Calibri" w:eastAsia="Times New Roman" w:hAnsi="Calibri" w:cs="Times New Roman"/>
                <w:color w:val="000000"/>
                <w:lang w:eastAsia="es-ES"/>
              </w:rPr>
            </w:pPr>
          </w:p>
        </w:tc>
      </w:tr>
      <w:tr w:rsidR="00E56BF0" w:rsidRPr="00C90523" w:rsidTr="00FF42C4">
        <w:trPr>
          <w:trHeight w:val="315"/>
        </w:trPr>
        <w:tc>
          <w:tcPr>
            <w:tcW w:w="5812" w:type="dxa"/>
            <w:gridSpan w:val="4"/>
            <w:tcBorders>
              <w:top w:val="single" w:sz="4" w:space="0" w:color="auto"/>
              <w:left w:val="single" w:sz="4" w:space="0" w:color="auto"/>
              <w:bottom w:val="single" w:sz="4" w:space="0" w:color="auto"/>
              <w:right w:val="nil"/>
            </w:tcBorders>
            <w:shd w:val="clear" w:color="000000" w:fill="D8D8D8"/>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Nome do eixo: </w:t>
            </w:r>
            <w:r w:rsidRPr="006568A3">
              <w:rPr>
                <w:rFonts w:ascii="Calibri" w:eastAsia="Times New Roman" w:hAnsi="Calibri" w:cs="Times New Roman"/>
                <w:b/>
                <w:color w:val="000000"/>
                <w:lang w:eastAsia="es-ES"/>
              </w:rPr>
              <w:t>Economia reprodutiva</w:t>
            </w:r>
          </w:p>
        </w:tc>
        <w:tc>
          <w:tcPr>
            <w:tcW w:w="1843" w:type="dxa"/>
            <w:tcBorders>
              <w:top w:val="single" w:sz="4" w:space="0" w:color="auto"/>
              <w:left w:val="nil"/>
              <w:bottom w:val="single" w:sz="4" w:space="0" w:color="auto"/>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 </w:t>
            </w:r>
          </w:p>
        </w:tc>
        <w:tc>
          <w:tcPr>
            <w:tcW w:w="1276" w:type="dxa"/>
            <w:tcBorders>
              <w:top w:val="single" w:sz="4" w:space="0" w:color="auto"/>
              <w:left w:val="nil"/>
              <w:bottom w:val="single" w:sz="4" w:space="0" w:color="auto"/>
              <w:right w:val="nil"/>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 </w:t>
            </w:r>
          </w:p>
        </w:tc>
        <w:tc>
          <w:tcPr>
            <w:tcW w:w="2410" w:type="dxa"/>
            <w:tcBorders>
              <w:top w:val="single" w:sz="4" w:space="0" w:color="auto"/>
              <w:left w:val="nil"/>
              <w:bottom w:val="single" w:sz="4" w:space="0" w:color="auto"/>
              <w:right w:val="single" w:sz="4" w:space="0" w:color="auto"/>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 </w:t>
            </w:r>
          </w:p>
        </w:tc>
      </w:tr>
      <w:tr w:rsidR="00E56BF0" w:rsidRPr="00C90523" w:rsidTr="00FF42C4">
        <w:trPr>
          <w:trHeight w:val="649"/>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5.1.1</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6975C5">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Apoiar o desenvolvimento da metodologia para o cálculo da contribuição do trabalho não remunerado (TNR) para o PIB e a sua integração nas contas nacionais.</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2015-2016</w:t>
            </w:r>
          </w:p>
        </w:tc>
        <w:tc>
          <w:tcPr>
            <w:tcW w:w="1134" w:type="dxa"/>
            <w:vMerge w:val="restart"/>
            <w:tcBorders>
              <w:top w:val="single" w:sz="4" w:space="0" w:color="auto"/>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MFP/INE</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especializada Internacional 21 dias </w:t>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1.049.000   </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F9 Melhoria do sistema estatístico nacional</w:t>
            </w:r>
            <w:r w:rsidRPr="006568A3">
              <w:rPr>
                <w:rFonts w:ascii="Calibri" w:eastAsia="Times New Roman" w:hAnsi="Calibri" w:cs="Times New Roman"/>
                <w:sz w:val="18"/>
                <w:szCs w:val="18"/>
                <w:lang w:eastAsia="es-ES"/>
              </w:rPr>
              <w:br/>
              <w:t xml:space="preserve">Parceiros Internacionais </w:t>
            </w:r>
          </w:p>
        </w:tc>
      </w:tr>
      <w:tr w:rsidR="00E56BF0" w:rsidRPr="00C90523" w:rsidTr="00FF42C4">
        <w:trPr>
          <w:trHeight w:val="821"/>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(Envolvida também na medida 5.2.1)</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200.000   </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r>
      <w:tr w:rsidR="00E56BF0" w:rsidRPr="00C90523" w:rsidTr="00FF42C4">
        <w:trPr>
          <w:trHeight w:val="353"/>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local (30 participantes) 3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167.000   </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r>
      <w:tr w:rsidR="00E56BF0" w:rsidRPr="00C90523" w:rsidTr="00FF42C4">
        <w:trPr>
          <w:trHeight w:val="51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5.1.2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Apoiar a elaboração de análises que evidenciem o retorno que investimentos focalizados na área dos cuidados podem ter (geração de emprego, produtividade, consumo, recursos tributários, redução dos gastos sociais a montante).</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2016-2017</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1.500.000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I15 Reforço da igualdade e equidade de género</w:t>
            </w:r>
            <w:r w:rsidRPr="006568A3">
              <w:rPr>
                <w:rFonts w:ascii="Calibri" w:eastAsia="Times New Roman" w:hAnsi="Calibri" w:cs="Times New Roman"/>
                <w:sz w:val="18"/>
                <w:szCs w:val="18"/>
                <w:lang w:eastAsia="es-ES"/>
              </w:rPr>
              <w:br/>
              <w:t xml:space="preserve">Parceiros Internacionais </w:t>
            </w:r>
          </w:p>
        </w:tc>
      </w:tr>
      <w:tr w:rsidR="00E56BF0" w:rsidRPr="00C90523" w:rsidTr="00FF42C4">
        <w:trPr>
          <w:trHeight w:val="30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Publicação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250.000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r>
      <w:tr w:rsidR="00E56BF0" w:rsidRPr="00C90523" w:rsidTr="00FF42C4">
        <w:trPr>
          <w:trHeight w:val="767"/>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Evento de apresentação (Atelier local 30 participantes) 1 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91.000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r>
      <w:tr w:rsidR="00E56BF0" w:rsidRPr="00C90523" w:rsidTr="00FF42C4">
        <w:trPr>
          <w:trHeight w:val="468"/>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5.2.1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Apoiar a aplicação da dimensão da pobreza de tempo ao cálculo da pobreza.</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MFP/INE</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especializada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5.1.1)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F9 Melhoria do sistema estatístico nacional </w:t>
            </w:r>
          </w:p>
        </w:tc>
      </w:tr>
      <w:tr w:rsidR="00E56BF0" w:rsidRPr="00C90523" w:rsidTr="00FF42C4">
        <w:trPr>
          <w:trHeight w:val="505"/>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Internacional 21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1.049.000   </w:t>
            </w:r>
          </w:p>
        </w:tc>
        <w:tc>
          <w:tcPr>
            <w:tcW w:w="2410"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r>
      <w:tr w:rsidR="00E56BF0" w:rsidRPr="00C90523" w:rsidTr="00FF42C4">
        <w:trPr>
          <w:trHeight w:val="1418"/>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5.3.1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Desenvolver medidas de sensibilização em relação a partilha das tarefas domésticas principalmente nas áreas rurais, como parte dos programas de formação e sensibilização de género das actividades de terreno (MDR, POSER).</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2016-2018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MDR</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Campanha com media sem spot</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4.590.000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I1 Mobilização de água e ordenamento das bacias hidrográficas</w:t>
            </w:r>
            <w:r w:rsidRPr="006568A3">
              <w:rPr>
                <w:rFonts w:ascii="Calibri" w:eastAsia="Times New Roman" w:hAnsi="Calibri" w:cs="Times New Roman"/>
                <w:sz w:val="18"/>
                <w:szCs w:val="18"/>
                <w:lang w:eastAsia="es-ES"/>
              </w:rPr>
              <w:br/>
              <w:t xml:space="preserve">I27.- Acesso aos pobres dos serviços sociais de base e ao rendimento. </w:t>
            </w:r>
          </w:p>
        </w:tc>
      </w:tr>
      <w:tr w:rsidR="00E56BF0" w:rsidRPr="00C90523" w:rsidTr="00FF42C4">
        <w:trPr>
          <w:trHeight w:val="51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5.3.2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Implementação de actividades no fundo de acceso social com vistas a melhoria das infra-estruturas de saneamento básico contribuam para que elas contribuam a redução do esforço e do tempo dedicado as tarefas domésticas.</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2015-2016</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MAHOT/</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ANAS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(sem inquérito)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400.000   </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MCA </w:t>
            </w:r>
          </w:p>
        </w:tc>
      </w:tr>
      <w:tr w:rsidR="00E56BF0" w:rsidRPr="00C90523" w:rsidTr="00FF42C4">
        <w:trPr>
          <w:trHeight w:val="91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w:t>
            </w:r>
            <w:r w:rsidRPr="006568A3">
              <w:rPr>
                <w:rFonts w:ascii="Calibri" w:eastAsia="Times New Roman" w:hAnsi="Calibri" w:cs="Times New Roman"/>
                <w:sz w:val="18"/>
                <w:szCs w:val="18"/>
                <w:lang w:eastAsia="es-ES"/>
              </w:rPr>
              <w:br/>
              <w:t>(Equipa MCA)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4.800.000   </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MCA </w:t>
            </w:r>
          </w:p>
        </w:tc>
      </w:tr>
      <w:tr w:rsidR="00E56BF0" w:rsidRPr="00C90523" w:rsidTr="00FF42C4">
        <w:trPr>
          <w:trHeight w:val="1621"/>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5.3.3</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Implementar a estratégia de Energias Domesticas do PNED em relação a energia para cocção de forma sustentável e estudar outras formas das infra-estruturas de energia contribuírem para a redução do esforço e do tempo dedicado as tarefas domesticas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MTIDE</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(Acompanhamento)</w:t>
            </w:r>
            <w:r w:rsidRPr="006568A3">
              <w:rPr>
                <w:rFonts w:ascii="Calibri" w:eastAsia="Times New Roman" w:hAnsi="Calibri" w:cs="Times New Roman"/>
                <w:sz w:val="18"/>
                <w:szCs w:val="18"/>
                <w:lang w:eastAsia="es-ES"/>
              </w:rPr>
              <w:br/>
              <w:t>(1/2 tempo)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1.584.000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I6 Infra-estruturas de promoção armazenamento e distribuição de energia</w:t>
            </w:r>
            <w:r w:rsidRPr="006568A3">
              <w:rPr>
                <w:rFonts w:ascii="Calibri" w:eastAsia="Times New Roman" w:hAnsi="Calibri" w:cs="Times New Roman"/>
                <w:sz w:val="18"/>
                <w:szCs w:val="18"/>
                <w:lang w:eastAsia="es-ES"/>
              </w:rPr>
              <w:br/>
              <w:t xml:space="preserve">I7 Promoção do uso de energia alternativa e eficiência energética </w:t>
            </w:r>
          </w:p>
        </w:tc>
      </w:tr>
      <w:tr w:rsidR="00E56BF0" w:rsidRPr="00C90523" w:rsidTr="00FF42C4">
        <w:trPr>
          <w:trHeight w:val="27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5.3.4</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Elaborar cenários para fortalecer e ampliar as infra-estruturas e os serviços para apoio ao cuidado das crianças e das pessoas com necessidades de cuidados especiais com vista à elaboração de uma estratégia.</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2017-2018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1.500.000   </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I15 Reforço da igualdade e equidade de género.</w:t>
            </w:r>
            <w:r w:rsidRPr="006568A3">
              <w:rPr>
                <w:rFonts w:ascii="Calibri" w:eastAsia="Times New Roman" w:hAnsi="Calibri" w:cs="Times New Roman"/>
                <w:sz w:val="18"/>
                <w:szCs w:val="18"/>
                <w:lang w:eastAsia="es-ES"/>
              </w:rPr>
              <w:br/>
              <w:t>F22 Melhoria das condições de vida das crianças e adolescentes.</w:t>
            </w:r>
            <w:r w:rsidRPr="006568A3">
              <w:rPr>
                <w:rFonts w:ascii="Calibri" w:eastAsia="Times New Roman" w:hAnsi="Calibri" w:cs="Times New Roman"/>
                <w:sz w:val="18"/>
                <w:szCs w:val="18"/>
                <w:lang w:eastAsia="es-ES"/>
              </w:rPr>
              <w:br/>
              <w:t>F5.- Ação social e escolar</w:t>
            </w:r>
            <w:r w:rsidRPr="006568A3">
              <w:rPr>
                <w:rFonts w:ascii="Calibri" w:eastAsia="Times New Roman" w:hAnsi="Calibri" w:cs="Times New Roman"/>
                <w:sz w:val="18"/>
                <w:szCs w:val="18"/>
                <w:lang w:eastAsia="es-ES"/>
              </w:rPr>
              <w:br/>
              <w:t xml:space="preserve">Parceiros Internacionais </w:t>
            </w:r>
          </w:p>
        </w:tc>
      </w:tr>
      <w:tr w:rsidR="00E56BF0" w:rsidRPr="00C90523" w:rsidTr="00FF42C4">
        <w:trPr>
          <w:trHeight w:val="883"/>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Evento de apresentação (Atelier nacional 30 participantes) 1 día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380.000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r>
      <w:tr w:rsidR="00E56BF0" w:rsidRPr="00C90523" w:rsidTr="00FF42C4">
        <w:trPr>
          <w:trHeight w:val="2258"/>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5.4.1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Estabelecer um grupo de trabalho interministerial para a elaboração de um quadro conceptual para as políticas de inclusão social no âmbito das políticas socioeconómicas, que tenha em conta a conciliação entre o trabalho produtivo e reprodutivo</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MESCI/</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UNICV</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(30 participantes) 1 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1.140.000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I15 Reforço da igualdade e equidade de género.</w:t>
            </w:r>
            <w:r w:rsidRPr="006568A3">
              <w:rPr>
                <w:rFonts w:ascii="Calibri" w:eastAsia="Times New Roman" w:hAnsi="Calibri" w:cs="Times New Roman"/>
                <w:sz w:val="18"/>
                <w:szCs w:val="18"/>
                <w:lang w:eastAsia="es-ES"/>
              </w:rPr>
              <w:br/>
              <w:t>F4 Promoção e reabilitação da habitação de interesse social.</w:t>
            </w:r>
            <w:r w:rsidRPr="006568A3">
              <w:rPr>
                <w:rFonts w:ascii="Calibri" w:eastAsia="Times New Roman" w:hAnsi="Calibri" w:cs="Times New Roman"/>
                <w:sz w:val="18"/>
                <w:szCs w:val="18"/>
                <w:lang w:eastAsia="es-ES"/>
              </w:rPr>
              <w:br/>
              <w:t>F22 Melhoria das condições de vida das crianças e adolescentes.</w:t>
            </w:r>
            <w:r w:rsidRPr="006568A3">
              <w:rPr>
                <w:rFonts w:ascii="Calibri" w:eastAsia="Times New Roman" w:hAnsi="Calibri" w:cs="Times New Roman"/>
                <w:sz w:val="18"/>
                <w:szCs w:val="18"/>
                <w:lang w:eastAsia="es-ES"/>
              </w:rPr>
              <w:br/>
              <w:t>I27 Aceso aos pobres dos serviços sociais de base e ao rendimento.</w:t>
            </w:r>
            <w:r w:rsidRPr="006568A3">
              <w:rPr>
                <w:rFonts w:ascii="Calibri" w:eastAsia="Times New Roman" w:hAnsi="Calibri" w:cs="Times New Roman"/>
                <w:sz w:val="18"/>
                <w:szCs w:val="18"/>
                <w:lang w:eastAsia="es-ES"/>
              </w:rPr>
              <w:br/>
              <w:t>Parceiros Internacionais.</w:t>
            </w:r>
          </w:p>
        </w:tc>
      </w:tr>
      <w:tr w:rsidR="00E56BF0" w:rsidRPr="00C90523" w:rsidTr="00FF42C4">
        <w:trPr>
          <w:trHeight w:val="2663"/>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5.4.2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Analisar os programas de apoio social priorizados e propor/ acompanhar a implementação de medidas para que os mesmo incluam ações que facilitem a conciliação entre o trabalho produtivo e reprodutivo, particularmente para as famílias chefiadas por mulheres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MJEDRH</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(Acompanhamento)</w:t>
            </w:r>
            <w:r w:rsidRPr="006568A3">
              <w:rPr>
                <w:rFonts w:ascii="Calibri" w:eastAsia="Times New Roman" w:hAnsi="Calibri" w:cs="Times New Roman"/>
                <w:sz w:val="18"/>
                <w:szCs w:val="18"/>
                <w:lang w:eastAsia="es-ES"/>
              </w:rPr>
              <w:br/>
              <w:t>(1/2 tempo)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792.000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'F41.-Garantia do acesso a todos os grupos sociais e profissionais a proteção social. </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F22 Melhoria das condições de vida das crianças e adolescentes. </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I27 Aceso aos pobres dos serviços sociais de base e ao rendimento. </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I8.- Promoção e reabilitação da habitação de interesse social.</w:t>
            </w: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Subtotal Eixo Economia produtiva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861276"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 xml:space="preserve">19.492.000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00"/>
        </w:trPr>
        <w:tc>
          <w:tcPr>
            <w:tcW w:w="595"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20"/>
                <w:szCs w:val="20"/>
                <w:lang w:eastAsia="es-ES"/>
              </w:rPr>
            </w:pPr>
          </w:p>
        </w:tc>
        <w:tc>
          <w:tcPr>
            <w:tcW w:w="3061"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20"/>
                <w:szCs w:val="20"/>
                <w:lang w:eastAsia="es-ES"/>
              </w:rPr>
            </w:pPr>
          </w:p>
        </w:tc>
        <w:tc>
          <w:tcPr>
            <w:tcW w:w="1022"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20"/>
                <w:szCs w:val="20"/>
                <w:lang w:eastAsia="es-ES"/>
              </w:rPr>
            </w:pPr>
          </w:p>
        </w:tc>
        <w:tc>
          <w:tcPr>
            <w:tcW w:w="1134"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20"/>
                <w:szCs w:val="20"/>
                <w:lang w:eastAsia="es-ES"/>
              </w:rPr>
            </w:pPr>
          </w:p>
        </w:tc>
        <w:tc>
          <w:tcPr>
            <w:tcW w:w="1843" w:type="dxa"/>
            <w:tcBorders>
              <w:top w:val="nil"/>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276" w:type="dxa"/>
            <w:tcBorders>
              <w:top w:val="nil"/>
              <w:left w:val="nil"/>
              <w:bottom w:val="single" w:sz="4" w:space="0" w:color="auto"/>
              <w:right w:val="nil"/>
            </w:tcBorders>
            <w:shd w:val="clear" w:color="auto" w:fill="auto"/>
            <w:noWrap/>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            </w:t>
            </w:r>
          </w:p>
        </w:tc>
        <w:tc>
          <w:tcPr>
            <w:tcW w:w="2410" w:type="dxa"/>
            <w:tcBorders>
              <w:top w:val="nil"/>
              <w:left w:val="nil"/>
              <w:bottom w:val="single" w:sz="4" w:space="0" w:color="auto"/>
              <w:right w:val="nil"/>
            </w:tcBorders>
            <w:shd w:val="clear" w:color="auto" w:fill="auto"/>
            <w:noWrap/>
            <w:vAlign w:val="bottom"/>
            <w:hideMark/>
          </w:tcPr>
          <w:p w:rsidR="00E56BF0" w:rsidRPr="00861276" w:rsidRDefault="00E56BF0" w:rsidP="00E56BF0">
            <w:pPr>
              <w:spacing w:after="0" w:line="240" w:lineRule="auto"/>
              <w:rPr>
                <w:rFonts w:ascii="Calibri" w:eastAsia="Times New Roman" w:hAnsi="Calibri" w:cs="Times New Roman"/>
                <w:color w:val="000000"/>
                <w:lang w:eastAsia="es-ES"/>
              </w:rPr>
            </w:pPr>
          </w:p>
        </w:tc>
      </w:tr>
      <w:tr w:rsidR="00E56BF0" w:rsidRPr="00C90523" w:rsidTr="00FF42C4">
        <w:trPr>
          <w:trHeight w:val="315"/>
        </w:trPr>
        <w:tc>
          <w:tcPr>
            <w:tcW w:w="11341"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bCs/>
                <w:color w:val="000000"/>
                <w:lang w:eastAsia="es-ES"/>
              </w:rPr>
              <w:t xml:space="preserve">Eixo: </w:t>
            </w:r>
            <w:r w:rsidRPr="006568A3">
              <w:rPr>
                <w:rFonts w:ascii="Calibri" w:eastAsia="Times New Roman" w:hAnsi="Calibri" w:cs="Times New Roman"/>
                <w:b/>
                <w:color w:val="000000"/>
                <w:lang w:eastAsia="es-ES"/>
              </w:rPr>
              <w:t>Participação política e nas esferas de tomada de decisão</w:t>
            </w:r>
          </w:p>
        </w:tc>
      </w:tr>
      <w:tr w:rsidR="00E56BF0" w:rsidRPr="00C90523" w:rsidTr="00FF42C4">
        <w:trPr>
          <w:trHeight w:val="565"/>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6.1.1</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Promover a elaboração/ revisão/ aprovação de medidas legislativas e regulamentares com vista à paridade na participação política das mulheres (Lei da Paridade, lei dos partidos políticos, código eleitoral e sua regulamentação).</w:t>
            </w:r>
          </w:p>
        </w:tc>
        <w:tc>
          <w:tcPr>
            <w:tcW w:w="10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vMerge w:val="restart"/>
            <w:tcBorders>
              <w:top w:val="single" w:sz="4" w:space="0" w:color="auto"/>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Assembleia</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RMP-CV</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jurídica</w:t>
            </w:r>
            <w:r w:rsidRPr="006568A3">
              <w:rPr>
                <w:rFonts w:ascii="Calibri" w:eastAsia="Times New Roman" w:hAnsi="Calibri" w:cs="Times New Roman"/>
                <w:sz w:val="18"/>
                <w:szCs w:val="18"/>
                <w:lang w:eastAsia="es-ES"/>
              </w:rPr>
              <w:br/>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7.5.1)</w:t>
            </w:r>
          </w:p>
        </w:tc>
        <w:tc>
          <w:tcPr>
            <w:tcW w:w="2410"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F25.- Promoção da legalidade democrática do interesse publico e da ação penal</w:t>
            </w:r>
          </w:p>
        </w:tc>
      </w:tr>
      <w:tr w:rsidR="00E56BF0" w:rsidRPr="00C90523" w:rsidTr="00FF42C4">
        <w:trPr>
          <w:trHeight w:val="576"/>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local (30 participantes 1 d</w:t>
            </w:r>
            <w:r w:rsidR="006536CC">
              <w:rPr>
                <w:rFonts w:ascii="Calibri" w:eastAsia="Times New Roman" w:hAnsi="Calibri" w:cs="Times New Roman"/>
                <w:sz w:val="18"/>
                <w:szCs w:val="18"/>
                <w:lang w:eastAsia="es-ES"/>
              </w:rPr>
              <w:t>i</w:t>
            </w:r>
            <w:r w:rsidRPr="006568A3">
              <w:rPr>
                <w:rFonts w:ascii="Calibri" w:eastAsia="Times New Roman" w:hAnsi="Calibri" w:cs="Times New Roman"/>
                <w:sz w:val="18"/>
                <w:szCs w:val="18"/>
                <w:lang w:eastAsia="es-ES"/>
              </w:rPr>
              <w:t>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182.000   </w:t>
            </w:r>
          </w:p>
        </w:tc>
        <w:tc>
          <w:tcPr>
            <w:tcW w:w="2410"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783"/>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6.1.2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Sensibilizar aos órgãos nacionais e locais dos partidos políticos e líderes comunitários no domínio da participação paritária de mulheres e homens na política.</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Organização de Mulheres dos Partidos Políticos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jurídica</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7.5.1)</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Parceiros Internacionais</w:t>
            </w:r>
          </w:p>
        </w:tc>
      </w:tr>
      <w:tr w:rsidR="00E56BF0" w:rsidRPr="00C90523" w:rsidTr="00FF42C4">
        <w:trPr>
          <w:trHeight w:val="174"/>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Campanha sem media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630.000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085"/>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6.1.3</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Capacitar às mulheres em género, liderança para a participação na política, entre outros, com vista a aumentar o numero das potenciais candidatas.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(30 participantes) 5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1.880.000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I15 Reforço da igualdade e equidade de género.</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770"/>
        </w:trPr>
        <w:tc>
          <w:tcPr>
            <w:tcW w:w="595" w:type="dxa"/>
            <w:tcBorders>
              <w:top w:val="nil"/>
              <w:left w:val="single" w:sz="4" w:space="0" w:color="auto"/>
              <w:bottom w:val="single" w:sz="4" w:space="0" w:color="auto"/>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6.2.1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Promover mecanismos legais e administrativos que assegurem a participação das mulheres em cargos de tomada de decisão.                                                                                                                                       </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RMP-CV</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jurídica</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7.5.1).</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F25.- Promoção da legalidade democrática do interesse publico e da ação penal.</w:t>
            </w:r>
          </w:p>
        </w:tc>
      </w:tr>
      <w:tr w:rsidR="00E56BF0" w:rsidRPr="00C90523" w:rsidTr="00FF42C4">
        <w:trPr>
          <w:trHeight w:val="51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E56BF0" w:rsidP="00E56BF0">
            <w:pPr>
              <w:spacing w:after="0" w:line="240" w:lineRule="auto"/>
              <w:jc w:val="right"/>
              <w:rPr>
                <w:rFonts w:ascii="Calibri" w:eastAsia="Times New Roman" w:hAnsi="Calibri" w:cs="Times New Roman"/>
                <w:color w:val="000000"/>
                <w:sz w:val="18"/>
                <w:szCs w:val="18"/>
                <w:lang w:eastAsia="es-ES"/>
              </w:rPr>
            </w:pPr>
            <w:r w:rsidRPr="00C90523">
              <w:rPr>
                <w:rFonts w:ascii="Calibri" w:eastAsia="Times New Roman" w:hAnsi="Calibri" w:cs="Times New Roman"/>
                <w:color w:val="000000"/>
                <w:sz w:val="18"/>
                <w:szCs w:val="18"/>
                <w:lang w:eastAsia="es-ES"/>
              </w:rPr>
              <w:t>6.2.2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Sensibilizar os decisores e as instituições para a importância de implementar as medidas que assegurem a participação das mulheres em cargos de tomada de decisão                                                                                                                                       </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2017</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CHGOV/</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UCRE &amp; DGAP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(sem inquérito).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400.000   </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tc>
      </w:tr>
      <w:tr w:rsidR="00E56BF0" w:rsidRPr="00C90523" w:rsidTr="00FF42C4">
        <w:trPr>
          <w:trHeight w:val="715"/>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nacional (30 participantes) 2 dias + 1 palestrante internacional</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571.000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456"/>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6.2.3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Reforçar os conhecimentos das mulheres sobre a participação nos cargos de tomada de decisão                                                                                                                                       na administração pública exercício e a aplicação da lei de paridade (caso de ser aprovada)</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2016-2017</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CHGOV/</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UCRE &amp; DGAP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local (30 participantes) 1 día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273.000   </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tc>
      </w:tr>
      <w:tr w:rsidR="00E56BF0" w:rsidRPr="00C90523" w:rsidTr="00FF42C4">
        <w:trPr>
          <w:trHeight w:val="829"/>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Material divulgativo - Folheto  (500 exemplares)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80.000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326"/>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6.3.1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Integrar a paridade de género nos critérios de seleção de candidatos para os cargos dirigentes dos partidos políticos (regulamento) e adopção de medidas facilitadoras da participação das mulheres (horários, etc.)</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Organização de Mulheres dos Partidos Políticos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jurídica</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7.5.1)</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F20.-Desenvolvimento das actividades de gestão das finanças publicas.</w:t>
            </w:r>
          </w:p>
        </w:tc>
      </w:tr>
      <w:tr w:rsidR="00E56BF0" w:rsidRPr="00C90523" w:rsidTr="00FF42C4">
        <w:trPr>
          <w:trHeight w:val="1260"/>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6.3.2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Sensibilizar aos militantes de base e dirigentes para apoiar medidas que permitam incrementar a participação das mulheres nos cargos de decisão dos partidos políticos.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Organização de mulheres dos partidos políticos</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Campanha sem media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630.000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F20.-Desenvolvimento das actividades de gestão das finanças publicas.</w:t>
            </w:r>
          </w:p>
        </w:tc>
      </w:tr>
      <w:tr w:rsidR="00E56BF0" w:rsidRPr="00C90523" w:rsidTr="00FF42C4">
        <w:trPr>
          <w:trHeight w:val="1209"/>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6.4.1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Adoptar medidas para que os meios de comunicação social favoreçam a igualdade de género, eliminando os estereótipos sexistas ou discriminatórios (adaptado de PNVBG 1.7)</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color w:val="00B050"/>
                <w:sz w:val="18"/>
                <w:szCs w:val="18"/>
                <w:lang w:eastAsia="es-ES"/>
              </w:rPr>
            </w:pPr>
            <w:r w:rsidRPr="006568A3">
              <w:rPr>
                <w:rFonts w:ascii="Calibri" w:eastAsia="Times New Roman" w:hAnsi="Calibri" w:cs="Times New Roman"/>
                <w:sz w:val="18"/>
                <w:szCs w:val="18"/>
                <w:lang w:eastAsia="es-ES"/>
              </w:rPr>
              <w:t>Direção de órgãos de CS</w:t>
            </w:r>
            <w:r w:rsidRPr="006568A3">
              <w:rPr>
                <w:rFonts w:ascii="Calibri" w:eastAsia="Times New Roman" w:hAnsi="Calibri" w:cs="Times New Roman"/>
                <w:color w:val="00B050"/>
                <w:sz w:val="18"/>
                <w:szCs w:val="18"/>
                <w:lang w:eastAsia="es-ES"/>
              </w:rPr>
              <w:t xml:space="preserve"> </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6975C5">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Orçamentado no PNVBG</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F8.- Melhoria da comunicação social.</w:t>
            </w:r>
          </w:p>
        </w:tc>
      </w:tr>
      <w:tr w:rsidR="00E56BF0" w:rsidRPr="00C90523" w:rsidTr="00FF42C4">
        <w:trPr>
          <w:trHeight w:val="589"/>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6.4.2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Adoptar uma agenda de comunicação social para promover a igualdade de género e participação paritária das mulheres nos processos electorais e reforço das capacidades dos jornalistas para o efeito.</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Direção de órgãos de CS </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7.2.4)</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tc>
      </w:tr>
      <w:tr w:rsidR="00E56BF0" w:rsidRPr="00C90523" w:rsidTr="00FF42C4">
        <w:trPr>
          <w:trHeight w:val="688"/>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(1/2 tempo)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600.000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F8.- Melhoria da comunicação social.</w:t>
            </w: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Subtotal Participação política e nas esferas de tomada de decisão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6568A3" w:rsidP="00E56BF0">
            <w:pPr>
              <w:spacing w:after="0" w:line="240" w:lineRule="auto"/>
              <w:jc w:val="right"/>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5.246.000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00"/>
        </w:trPr>
        <w:tc>
          <w:tcPr>
            <w:tcW w:w="595"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3061"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sz w:val="20"/>
                <w:szCs w:val="20"/>
                <w:lang w:eastAsia="es-ES"/>
              </w:rPr>
            </w:pPr>
          </w:p>
        </w:tc>
        <w:tc>
          <w:tcPr>
            <w:tcW w:w="1022"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134" w:type="dxa"/>
            <w:tcBorders>
              <w:top w:val="nil"/>
              <w:left w:val="nil"/>
              <w:bottom w:val="single" w:sz="4" w:space="0" w:color="auto"/>
              <w:right w:val="nil"/>
            </w:tcBorders>
            <w:shd w:val="clear" w:color="auto" w:fill="auto"/>
            <w:hideMark/>
          </w:tcPr>
          <w:p w:rsidR="00E56BF0" w:rsidRPr="00C90523" w:rsidRDefault="00E56BF0" w:rsidP="00E56BF0">
            <w:pPr>
              <w:spacing w:after="0" w:line="240" w:lineRule="auto"/>
              <w:jc w:val="center"/>
              <w:rPr>
                <w:rFonts w:ascii="Calibri" w:eastAsia="Times New Roman" w:hAnsi="Calibri" w:cs="Times New Roman"/>
                <w:color w:val="000000"/>
                <w:sz w:val="20"/>
                <w:szCs w:val="20"/>
                <w:lang w:eastAsia="es-ES"/>
              </w:rPr>
            </w:pPr>
          </w:p>
        </w:tc>
        <w:tc>
          <w:tcPr>
            <w:tcW w:w="1843" w:type="dxa"/>
            <w:tcBorders>
              <w:top w:val="nil"/>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276" w:type="dxa"/>
            <w:tcBorders>
              <w:top w:val="nil"/>
              <w:left w:val="nil"/>
              <w:bottom w:val="single" w:sz="4" w:space="0" w:color="auto"/>
              <w:right w:val="nil"/>
            </w:tcBorders>
            <w:shd w:val="clear" w:color="auto" w:fill="auto"/>
            <w:noWrap/>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               </w:t>
            </w:r>
          </w:p>
        </w:tc>
        <w:tc>
          <w:tcPr>
            <w:tcW w:w="2410" w:type="dxa"/>
            <w:tcBorders>
              <w:top w:val="nil"/>
              <w:left w:val="nil"/>
              <w:bottom w:val="single" w:sz="4" w:space="0" w:color="auto"/>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r>
      <w:tr w:rsidR="00E56BF0" w:rsidRPr="00C90523" w:rsidTr="00FF42C4">
        <w:trPr>
          <w:trHeight w:val="315"/>
        </w:trPr>
        <w:tc>
          <w:tcPr>
            <w:tcW w:w="11341" w:type="dxa"/>
            <w:gridSpan w:val="7"/>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E56BF0" w:rsidRPr="00C90523" w:rsidRDefault="006568A3" w:rsidP="00E56BF0">
            <w:pPr>
              <w:spacing w:after="0" w:line="240" w:lineRule="auto"/>
              <w:rPr>
                <w:rFonts w:ascii="Calibri" w:eastAsia="Times New Roman" w:hAnsi="Calibri" w:cs="Times New Roman"/>
                <w:b/>
                <w:bCs/>
                <w:color w:val="000000"/>
                <w:lang w:eastAsia="es-ES"/>
              </w:rPr>
            </w:pPr>
            <w:r w:rsidRPr="006568A3">
              <w:rPr>
                <w:rFonts w:ascii="Calibri" w:eastAsia="Times New Roman" w:hAnsi="Calibri" w:cs="Times New Roman"/>
                <w:b/>
                <w:bCs/>
                <w:color w:val="000000"/>
                <w:lang w:eastAsia="es-ES"/>
              </w:rPr>
              <w:t xml:space="preserve">Eixo: </w:t>
            </w:r>
            <w:r w:rsidRPr="006568A3">
              <w:rPr>
                <w:rFonts w:ascii="Calibri" w:eastAsia="Times New Roman" w:hAnsi="Calibri" w:cs="Times New Roman"/>
                <w:b/>
                <w:color w:val="000000"/>
                <w:lang w:eastAsia="es-ES"/>
              </w:rPr>
              <w:t>Reforço institucional para a integração da abordagem de género nas políticas públicas</w:t>
            </w:r>
          </w:p>
        </w:tc>
      </w:tr>
      <w:tr w:rsidR="00E56BF0" w:rsidRPr="00C90523" w:rsidTr="00FF42C4">
        <w:trPr>
          <w:trHeight w:val="612"/>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7.1.1</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Produzir e divulgar dados em falta, sobre a situação de homens e mulheres em particular no que diz respeito ao domínio económico, tais como o acesso ao crédito e aos serviços de micro-finanças, desigualdade salarial, propriedade da terra, entre outros), incluindo as informações sobre o sector informal.</w:t>
            </w:r>
          </w:p>
        </w:tc>
        <w:tc>
          <w:tcPr>
            <w:tcW w:w="1022"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single" w:sz="4" w:space="0" w:color="auto"/>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B050"/>
                <w:sz w:val="18"/>
                <w:szCs w:val="18"/>
                <w:lang w:eastAsia="es-ES"/>
              </w:rPr>
            </w:pPr>
            <w:r w:rsidRPr="006568A3">
              <w:rPr>
                <w:rFonts w:ascii="Calibri" w:eastAsia="Times New Roman" w:hAnsi="Calibri" w:cs="Times New Roman"/>
                <w:sz w:val="18"/>
                <w:szCs w:val="18"/>
                <w:lang w:eastAsia="es-ES"/>
              </w:rPr>
              <w:t>MFP/INE</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(acompanhamento - 1/2 tempo)</w:t>
            </w:r>
            <w:r w:rsidRPr="006568A3">
              <w:rPr>
                <w:rFonts w:ascii="Calibri" w:eastAsia="Times New Roman" w:hAnsi="Calibri" w:cs="Times New Roman"/>
                <w:sz w:val="18"/>
                <w:szCs w:val="18"/>
                <w:lang w:eastAsia="es-ES"/>
              </w:rPr>
              <w:br/>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7.1.5)</w:t>
            </w:r>
          </w:p>
        </w:tc>
        <w:tc>
          <w:tcPr>
            <w:tcW w:w="2410"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F9 Melhoria do sistema estatístico nacional</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798"/>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local (30 participantes) 1 d</w:t>
            </w:r>
            <w:r w:rsidR="006536CC">
              <w:rPr>
                <w:rFonts w:ascii="Calibri" w:eastAsia="Times New Roman" w:hAnsi="Calibri" w:cs="Times New Roman"/>
                <w:sz w:val="18"/>
                <w:szCs w:val="18"/>
                <w:lang w:eastAsia="es-ES"/>
              </w:rPr>
              <w:t>i</w:t>
            </w:r>
            <w:r w:rsidRPr="006568A3">
              <w:rPr>
                <w:rFonts w:ascii="Calibri" w:eastAsia="Times New Roman" w:hAnsi="Calibri" w:cs="Times New Roman"/>
                <w:sz w:val="18"/>
                <w:szCs w:val="18"/>
                <w:lang w:eastAsia="es-ES"/>
              </w:rPr>
              <w:t>a  (reuni</w:t>
            </w:r>
            <w:r w:rsidR="006536CC">
              <w:rPr>
                <w:rFonts w:ascii="Calibri" w:eastAsia="Times New Roman" w:hAnsi="Calibri" w:cs="Times New Roman"/>
                <w:sz w:val="18"/>
                <w:szCs w:val="18"/>
                <w:lang w:eastAsia="es-ES"/>
              </w:rPr>
              <w:t>ã</w:t>
            </w:r>
            <w:r w:rsidRPr="006568A3">
              <w:rPr>
                <w:rFonts w:ascii="Calibri" w:eastAsia="Times New Roman" w:hAnsi="Calibri" w:cs="Times New Roman"/>
                <w:sz w:val="18"/>
                <w:szCs w:val="18"/>
                <w:lang w:eastAsia="es-ES"/>
              </w:rPr>
              <w:t>o BCCV, INE e ICIEG)</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1.140.000   </w:t>
            </w:r>
          </w:p>
        </w:tc>
        <w:tc>
          <w:tcPr>
            <w:tcW w:w="2410"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466"/>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7.1.2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Identificar operações estatísticas regulares chaves  e acompanhar a integração da abordagem de género e a desagregação dos dados, tendo em conta as suas várias etapas, desde a concepção até ao tratamento, análise e divulgação dos dados. </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MFP/INE</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(acompanhamento - 1/2 tempo)</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7.1.5)</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F9 Melhoria do sistema estatístico nacional</w:t>
            </w:r>
          </w:p>
        </w:tc>
      </w:tr>
      <w:tr w:rsidR="00E56BF0" w:rsidRPr="00C90523" w:rsidTr="00FF42C4">
        <w:trPr>
          <w:trHeight w:val="1479"/>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7.1.3</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análises que permitam uma adequada caracterização de grupos de mulheres em situação de particular desvantagem, nomeadamente mulheres em situação de pobreza, mulheres rurais, mulheres com deficiência.</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2016</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1.500.000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I15 Reforço da igualdade e equidade de género.</w:t>
            </w:r>
            <w:r w:rsidRPr="006568A3">
              <w:rPr>
                <w:rFonts w:ascii="Calibri" w:eastAsia="Times New Roman" w:hAnsi="Calibri" w:cs="Times New Roman"/>
                <w:color w:val="000000"/>
                <w:sz w:val="18"/>
                <w:szCs w:val="18"/>
                <w:lang w:eastAsia="es-ES"/>
              </w:rPr>
              <w:br/>
              <w:t>F9 Melhoria do sistema estatístico nacional</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1529"/>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7.1.4</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802644">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Articular </w:t>
            </w:r>
            <w:r w:rsidR="00D91C1A" w:rsidRPr="00D91C1A">
              <w:rPr>
                <w:rFonts w:ascii="Calibri" w:eastAsia="Times New Roman" w:hAnsi="Calibri" w:cs="Times New Roman"/>
                <w:color w:val="000000"/>
                <w:sz w:val="18"/>
                <w:szCs w:val="18"/>
                <w:lang w:eastAsia="es-ES"/>
              </w:rPr>
              <w:t xml:space="preserve">entre ICIEG, INE e a academia </w:t>
            </w:r>
            <w:r w:rsidRPr="006568A3">
              <w:rPr>
                <w:rFonts w:ascii="Calibri" w:eastAsia="Times New Roman" w:hAnsi="Calibri" w:cs="Times New Roman"/>
                <w:color w:val="000000"/>
                <w:sz w:val="18"/>
                <w:szCs w:val="18"/>
                <w:lang w:eastAsia="es-ES"/>
              </w:rPr>
              <w:t>para a realização de estudos e análises, operacionais e académicas, voltadas para as várias temáticas no domínio da igualdade de género, entre as quais o aprofundamento da reflexão sobre a estrutura familiar em Cabo Verde.</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2016-2018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Estudo quantitativo e qualitativo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4.500.000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I15 Reforço da igualdade e equidade de género.</w:t>
            </w:r>
            <w:r w:rsidRPr="006568A3">
              <w:rPr>
                <w:rFonts w:ascii="Calibri" w:eastAsia="Times New Roman" w:hAnsi="Calibri" w:cs="Times New Roman"/>
                <w:color w:val="000000"/>
                <w:sz w:val="18"/>
                <w:szCs w:val="18"/>
                <w:lang w:eastAsia="es-ES"/>
              </w:rPr>
              <w:br/>
              <w:t>F9 Melhoria do sistema estatístico nacional</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1234"/>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7.1.5</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Fortalecer o Observatório da Igualdade de Género e SNIG como forma de melhorar o acesso aos dados e às análises pelos vários intervenientes.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2015-2017</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MFP/INE</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w:t>
            </w:r>
            <w:r w:rsidR="006536CC">
              <w:rPr>
                <w:rFonts w:ascii="Calibri" w:eastAsia="Times New Roman" w:hAnsi="Calibri" w:cs="Times New Roman"/>
                <w:sz w:val="18"/>
                <w:szCs w:val="18"/>
                <w:lang w:eastAsia="es-ES"/>
              </w:rPr>
              <w:t>ê</w:t>
            </w:r>
            <w:r w:rsidRPr="006568A3">
              <w:rPr>
                <w:rFonts w:ascii="Calibri" w:eastAsia="Times New Roman" w:hAnsi="Calibri" w:cs="Times New Roman"/>
                <w:sz w:val="18"/>
                <w:szCs w:val="18"/>
                <w:lang w:eastAsia="es-ES"/>
              </w:rPr>
              <w:t>ncia técnica (Acompanhamento)</w:t>
            </w:r>
            <w:r w:rsidRPr="006568A3">
              <w:rPr>
                <w:rFonts w:ascii="Calibri" w:eastAsia="Times New Roman" w:hAnsi="Calibri" w:cs="Times New Roman"/>
                <w:sz w:val="18"/>
                <w:szCs w:val="18"/>
                <w:lang w:eastAsia="es-ES"/>
              </w:rPr>
              <w:br/>
              <w:t>(1/2 tempo)</w:t>
            </w:r>
            <w:r w:rsidRPr="006568A3">
              <w:rPr>
                <w:rFonts w:ascii="Calibri" w:eastAsia="Times New Roman" w:hAnsi="Calibri" w:cs="Times New Roman"/>
                <w:sz w:val="18"/>
                <w:szCs w:val="18"/>
                <w:lang w:eastAsia="es-ES"/>
              </w:rPr>
              <w:br/>
              <w:t>(Envolvida também nas medidas 7.1.1 e 7.1.2)</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1.584.000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F9 Melhoria do sistema estatístico nacional</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584"/>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7.2.1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análises do Orçamento Geral do Estado numa perspectiva de género e de recomendações para a sua discussão/aprovação.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Assembleia RMP-CV</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orçamentada na 7.2.4)</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w:t>
            </w:r>
          </w:p>
        </w:tc>
      </w:tr>
      <w:tr w:rsidR="00E56BF0" w:rsidRPr="00C90523" w:rsidTr="00FF42C4">
        <w:trPr>
          <w:trHeight w:val="909"/>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Internacional 21 d</w:t>
            </w:r>
            <w:r w:rsidR="006536CC">
              <w:rPr>
                <w:rFonts w:ascii="Calibri" w:eastAsia="Times New Roman" w:hAnsi="Calibri" w:cs="Times New Roman"/>
                <w:sz w:val="18"/>
                <w:szCs w:val="18"/>
                <w:lang w:eastAsia="es-ES"/>
              </w:rPr>
              <w:t>i</w:t>
            </w:r>
            <w:r w:rsidRPr="006568A3">
              <w:rPr>
                <w:rFonts w:ascii="Calibri" w:eastAsia="Times New Roman" w:hAnsi="Calibri" w:cs="Times New Roman"/>
                <w:sz w:val="18"/>
                <w:szCs w:val="18"/>
                <w:lang w:eastAsia="es-ES"/>
              </w:rPr>
              <w:t xml:space="preserve">as </w:t>
            </w:r>
            <w:r w:rsidRPr="006568A3">
              <w:rPr>
                <w:rFonts w:ascii="Calibri" w:eastAsia="Times New Roman" w:hAnsi="Calibri" w:cs="Times New Roman"/>
                <w:sz w:val="18"/>
                <w:szCs w:val="18"/>
                <w:lang w:eastAsia="es-ES"/>
              </w:rPr>
              <w:br/>
              <w:t>(Envolvida também na medida 7.2.2)</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1.049.000   </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PNUD</w:t>
            </w:r>
          </w:p>
        </w:tc>
      </w:tr>
      <w:tr w:rsidR="00E56BF0" w:rsidRPr="00C90523" w:rsidTr="006975C5">
        <w:trPr>
          <w:trHeight w:val="526"/>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1.600.000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F10 - Promoção da excelência e transparência na gestão das finanças publicas.</w:t>
            </w:r>
          </w:p>
        </w:tc>
      </w:tr>
      <w:tr w:rsidR="00E56BF0" w:rsidRPr="00C90523" w:rsidTr="00FF42C4">
        <w:trPr>
          <w:trHeight w:val="629"/>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7.2.2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Propor e advogar pela aprovação de normativas no Lei de Base do Orçamento relativas à planificação e orçamentação sensível ao género.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Assembleia/RMP-CV</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Internacional 21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7.2.1)</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PNUD</w:t>
            </w:r>
          </w:p>
        </w:tc>
      </w:tr>
      <w:tr w:rsidR="00E56BF0" w:rsidRPr="00C90523" w:rsidTr="00FF42C4">
        <w:trPr>
          <w:trHeight w:val="51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Atelier local (30 participantes) 1 dia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380.000   </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PNUD</w:t>
            </w:r>
          </w:p>
        </w:tc>
      </w:tr>
      <w:tr w:rsidR="00E56BF0" w:rsidRPr="00C90523" w:rsidTr="00FF42C4">
        <w:trPr>
          <w:trHeight w:val="693"/>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7.2.3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Inserir nas normativas e directrizes anuais e instrumentos de planeamento e orçamentação (quadros lógicos dos programas e projectos, códigos e classificadores orçamentários, etc.) propostas para garantir a efectiva transversalidade de género no orçamento do estado e a inclusão das medidas para implementação do PNIG e do PNVBG de responsabilidade dos diferentes sectores.</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7.2.4)</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w:t>
            </w:r>
          </w:p>
        </w:tc>
      </w:tr>
      <w:tr w:rsidR="00E56BF0" w:rsidRPr="00C90523" w:rsidTr="00FF42C4">
        <w:trPr>
          <w:trHeight w:val="1963"/>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no MFP, 6 meses por ano</w:t>
            </w:r>
            <w:r w:rsidRPr="006568A3">
              <w:rPr>
                <w:rFonts w:ascii="Calibri" w:eastAsia="Times New Roman" w:hAnsi="Calibri" w:cs="Times New Roman"/>
                <w:sz w:val="18"/>
                <w:szCs w:val="18"/>
                <w:lang w:eastAsia="es-ES"/>
              </w:rPr>
              <w:br/>
              <w:t>(Envolvida também na medida 7.2.4 e 7.2.6)</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4.800.000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F5 Reforço das competências técnicas do MFP.</w:t>
            </w:r>
            <w:r w:rsidRPr="006568A3">
              <w:rPr>
                <w:rFonts w:ascii="Calibri" w:eastAsia="Times New Roman" w:hAnsi="Calibri" w:cs="Times New Roman"/>
                <w:color w:val="000000"/>
                <w:sz w:val="18"/>
                <w:szCs w:val="18"/>
                <w:lang w:eastAsia="es-ES"/>
              </w:rPr>
              <w:br/>
              <w:t>F10 - Promoção da excelência e transparência na gestão das finanças publicas.</w:t>
            </w:r>
            <w:r w:rsidRPr="006568A3">
              <w:rPr>
                <w:rFonts w:ascii="Calibri" w:eastAsia="Times New Roman" w:hAnsi="Calibri" w:cs="Times New Roman"/>
                <w:color w:val="000000"/>
                <w:sz w:val="18"/>
                <w:szCs w:val="18"/>
                <w:lang w:eastAsia="es-ES"/>
              </w:rPr>
              <w:br/>
              <w:t>F20 Desenvolvimento das actividades de gestão das finanças publicas.</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1269"/>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center"/>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7.2.4</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Capacitar e acompanhar em matéria de integração da abordagem de género para a aplicação dos  instrumentos de planeamento e orçamentação sensivel ao género  (POSG) e implementação de auditorias de géneros em sectores selecionados.</w:t>
            </w:r>
          </w:p>
        </w:tc>
        <w:tc>
          <w:tcPr>
            <w:tcW w:w="1022"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w:t>
            </w:r>
          </w:p>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(Acompanhamento)</w:t>
            </w:r>
            <w:r w:rsidRPr="006568A3">
              <w:rPr>
                <w:rFonts w:ascii="Calibri" w:eastAsia="Times New Roman" w:hAnsi="Calibri" w:cs="Times New Roman"/>
                <w:sz w:val="18"/>
                <w:szCs w:val="18"/>
                <w:lang w:eastAsia="es-ES"/>
              </w:rPr>
              <w:br/>
              <w:t>(Envolvida também nas medidas 6.4.2, 7.2.1, 7.2.3, 7.2.5, 7.3.1 e 7.3.2)</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3.168.000   </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F10 - Promoção da excelência e transparência na gestão das finanças publicas.</w:t>
            </w:r>
            <w:r w:rsidRPr="006568A3">
              <w:rPr>
                <w:rFonts w:ascii="Calibri" w:eastAsia="Times New Roman" w:hAnsi="Calibri" w:cs="Times New Roman"/>
                <w:color w:val="000000"/>
                <w:sz w:val="18"/>
                <w:szCs w:val="18"/>
                <w:lang w:eastAsia="es-ES"/>
              </w:rPr>
              <w:br/>
              <w:t>F20 Desenvolvimento das actividades de gestão das finanças publicas.</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652"/>
        </w:trPr>
        <w:tc>
          <w:tcPr>
            <w:tcW w:w="595" w:type="dxa"/>
            <w:vMerge/>
            <w:tcBorders>
              <w:top w:val="nil"/>
              <w:left w:val="single" w:sz="4" w:space="0" w:color="auto"/>
              <w:bottom w:val="single" w:sz="4" w:space="0" w:color="auto"/>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w:t>
            </w:r>
            <w:r w:rsidR="006536CC">
              <w:rPr>
                <w:rFonts w:ascii="Calibri" w:eastAsia="Times New Roman" w:hAnsi="Calibri" w:cs="Times New Roman"/>
                <w:sz w:val="18"/>
                <w:szCs w:val="18"/>
                <w:lang w:eastAsia="es-ES"/>
              </w:rPr>
              <w:t>é</w:t>
            </w:r>
            <w:r w:rsidRPr="006568A3">
              <w:rPr>
                <w:rFonts w:ascii="Calibri" w:eastAsia="Times New Roman" w:hAnsi="Calibri" w:cs="Times New Roman"/>
                <w:sz w:val="18"/>
                <w:szCs w:val="18"/>
                <w:lang w:eastAsia="es-ES"/>
              </w:rPr>
              <w:t xml:space="preserve">cnica especializada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7.2.3)</w:t>
            </w:r>
          </w:p>
        </w:tc>
        <w:tc>
          <w:tcPr>
            <w:tcW w:w="2410" w:type="dxa"/>
            <w:vMerge/>
            <w:tcBorders>
              <w:top w:val="nil"/>
              <w:left w:val="single" w:sz="4" w:space="0" w:color="auto"/>
              <w:bottom w:val="single" w:sz="4" w:space="0" w:color="auto"/>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575"/>
        </w:trPr>
        <w:tc>
          <w:tcPr>
            <w:tcW w:w="595" w:type="dxa"/>
            <w:tcBorders>
              <w:top w:val="single" w:sz="4" w:space="0" w:color="auto"/>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7.2.5</w:t>
            </w:r>
          </w:p>
        </w:tc>
        <w:tc>
          <w:tcPr>
            <w:tcW w:w="3061"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Integra no currículo  um modulo de capacitação em género e planeamento e orçamento na perspectiva de género e promover incentivos para os funcionários ganhar reconhecimento  ligado a promoção da carreira após da formação.</w:t>
            </w:r>
          </w:p>
        </w:tc>
        <w:tc>
          <w:tcPr>
            <w:tcW w:w="1022"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MESCI/</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UniCV</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7.2.4)</w:t>
            </w:r>
          </w:p>
        </w:tc>
        <w:tc>
          <w:tcPr>
            <w:tcW w:w="2410"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F11.- Formação e capacitação (ensino superior)</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1728"/>
        </w:trPr>
        <w:tc>
          <w:tcPr>
            <w:tcW w:w="595" w:type="dxa"/>
            <w:tcBorders>
              <w:top w:val="single" w:sz="4" w:space="0" w:color="auto"/>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7.2.6</w:t>
            </w:r>
          </w:p>
        </w:tc>
        <w:tc>
          <w:tcPr>
            <w:tcW w:w="3061"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Apoiar a integração de indicadores desagregado pelo sexo e indicadores de género nos quadros lógicos dos programas do DECRP III (revisão a meio percurso) e acompanhar a integração da abordagem de género na sua avaliação final e na formulação do novo plano de desenvolvimento estratégico.</w:t>
            </w:r>
          </w:p>
        </w:tc>
        <w:tc>
          <w:tcPr>
            <w:tcW w:w="1022" w:type="dxa"/>
            <w:tcBorders>
              <w:top w:val="single" w:sz="4" w:space="0" w:color="auto"/>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w:t>
            </w:r>
          </w:p>
        </w:tc>
        <w:tc>
          <w:tcPr>
            <w:tcW w:w="1843"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especializada </w:t>
            </w:r>
            <w:r w:rsidRPr="006568A3">
              <w:rPr>
                <w:rFonts w:ascii="Calibri" w:eastAsia="Times New Roman" w:hAnsi="Calibri" w:cs="Times New Roman"/>
                <w:sz w:val="18"/>
                <w:szCs w:val="18"/>
                <w:lang w:eastAsia="es-ES"/>
              </w:rPr>
              <w:br/>
            </w:r>
          </w:p>
        </w:tc>
        <w:tc>
          <w:tcPr>
            <w:tcW w:w="1276" w:type="dxa"/>
            <w:tcBorders>
              <w:top w:val="single" w:sz="4" w:space="0" w:color="auto"/>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7.2.3)</w:t>
            </w:r>
          </w:p>
        </w:tc>
        <w:tc>
          <w:tcPr>
            <w:tcW w:w="2410" w:type="dxa"/>
            <w:tcBorders>
              <w:top w:val="single" w:sz="4" w:space="0" w:color="auto"/>
              <w:left w:val="nil"/>
              <w:bottom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F5 Reforço das competências técnicas do MFP</w:t>
            </w:r>
            <w:r w:rsidRPr="006568A3">
              <w:rPr>
                <w:rFonts w:ascii="Calibri" w:eastAsia="Times New Roman" w:hAnsi="Calibri" w:cs="Times New Roman"/>
                <w:color w:val="000000"/>
                <w:sz w:val="18"/>
                <w:szCs w:val="18"/>
                <w:lang w:eastAsia="es-ES"/>
              </w:rPr>
              <w:br/>
              <w:t>F10 - Promoção da excelência e transparência na gestão das finanças publicas.</w:t>
            </w:r>
            <w:r w:rsidRPr="006568A3">
              <w:rPr>
                <w:rFonts w:ascii="Calibri" w:eastAsia="Times New Roman" w:hAnsi="Calibri" w:cs="Times New Roman"/>
                <w:color w:val="000000"/>
                <w:sz w:val="18"/>
                <w:szCs w:val="18"/>
                <w:lang w:eastAsia="es-ES"/>
              </w:rPr>
              <w:br/>
              <w:t>F20 Desenvolvimento das actividades de gestão das finanças publicas</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891"/>
        </w:trPr>
        <w:tc>
          <w:tcPr>
            <w:tcW w:w="595" w:type="dxa"/>
            <w:vMerge w:val="restart"/>
            <w:tcBorders>
              <w:top w:val="single" w:sz="4" w:space="0" w:color="auto"/>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7.3.1</w:t>
            </w:r>
          </w:p>
        </w:tc>
        <w:tc>
          <w:tcPr>
            <w:tcW w:w="3061"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Capacitar aos decisores, técnicos do sistema de planificação e academia sobre políticas económicas numa perspectiva de género (análise económica, análise das políticas, redução da pobreza, emprego, macroeconomia, comércio, fiscalidade, orçamento).</w:t>
            </w:r>
          </w:p>
        </w:tc>
        <w:tc>
          <w:tcPr>
            <w:tcW w:w="1022" w:type="dxa"/>
            <w:vMerge w:val="restart"/>
            <w:tcBorders>
              <w:top w:val="single" w:sz="4" w:space="0" w:color="auto"/>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2017</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6975C5">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7.2.4)</w:t>
            </w:r>
          </w:p>
        </w:tc>
        <w:tc>
          <w:tcPr>
            <w:tcW w:w="2410" w:type="dxa"/>
            <w:tcBorders>
              <w:top w:val="single" w:sz="4" w:space="0" w:color="auto"/>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F5 Reforço das competências técnicas do MFP</w:t>
            </w:r>
          </w:p>
        </w:tc>
      </w:tr>
      <w:tr w:rsidR="00E56BF0" w:rsidRPr="00C90523" w:rsidTr="00FF42C4">
        <w:trPr>
          <w:trHeight w:val="1186"/>
        </w:trPr>
        <w:tc>
          <w:tcPr>
            <w:tcW w:w="595" w:type="dxa"/>
            <w:vMerge/>
            <w:tcBorders>
              <w:top w:val="single" w:sz="4" w:space="0" w:color="auto"/>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single" w:sz="4" w:space="0" w:color="auto"/>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MODULO GEPMI (15 dias em módulos de 2 dias) = Atelier Nacional (2 d</w:t>
            </w:r>
            <w:r w:rsidR="006536CC">
              <w:rPr>
                <w:rFonts w:ascii="Calibri" w:eastAsia="Times New Roman" w:hAnsi="Calibri" w:cs="Times New Roman"/>
                <w:sz w:val="18"/>
                <w:szCs w:val="18"/>
                <w:lang w:eastAsia="es-ES"/>
              </w:rPr>
              <w:t>i</w:t>
            </w:r>
            <w:r w:rsidRPr="006568A3">
              <w:rPr>
                <w:rFonts w:ascii="Calibri" w:eastAsia="Times New Roman" w:hAnsi="Calibri" w:cs="Times New Roman"/>
                <w:sz w:val="18"/>
                <w:szCs w:val="18"/>
                <w:lang w:eastAsia="es-ES"/>
              </w:rPr>
              <w:t>as)+ 1 palestrantes internacionais (3 dias) cada atelier</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3.906.000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Parceiros Internacionais</w:t>
            </w:r>
          </w:p>
        </w:tc>
      </w:tr>
      <w:tr w:rsidR="00E56BF0" w:rsidRPr="00C90523" w:rsidTr="00FF42C4">
        <w:trPr>
          <w:trHeight w:val="203"/>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7.3.2</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Acompanhar a discussão a nível nacional sobre o quadro de desenvolvimento para o pós-2015 (objectivos de desenvolvimento sustentáveis – ODS), apoiar a apropriação da igualdade de género como uma questão de desenvolvimento e sua inserção no quadro das políticas macro.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MFP</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6975C5">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(Rúbrica já orçamentada na 7.2.4)</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F5 Reforço das competências técnicas do MFP</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947"/>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internacional (3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1.230.000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203"/>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7.4.1</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Garantir as capacidades técnicas e financeiras do mecanismo nacional para a igualdade de género para o cumprimento do seu mandato na promoção da igualdade de direitos entre mulheres e homens, e a efetiva e visível participação das mulheres em todos os âmbitos  da vida social, económica e politica do país. </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FF42C4">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Assistência técnica (acompanhamento) </w:t>
            </w:r>
            <w:r w:rsidRPr="006568A3">
              <w:rPr>
                <w:rFonts w:ascii="Calibri" w:eastAsia="Times New Roman" w:hAnsi="Calibri" w:cs="Times New Roman"/>
                <w:sz w:val="18"/>
                <w:szCs w:val="18"/>
                <w:lang w:eastAsia="es-ES"/>
              </w:rPr>
              <w:br/>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FF42C4">
            <w:pPr>
              <w:spacing w:after="0" w:line="240" w:lineRule="auto"/>
              <w:jc w:val="center"/>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Especialistas temáticas orçamentadas ao longo dos eixos</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F33 – Promoção da Igualdade e Equidade de Género</w:t>
            </w:r>
            <w:r w:rsidRPr="006568A3">
              <w:rPr>
                <w:rFonts w:ascii="Calibri" w:eastAsia="Times New Roman" w:hAnsi="Calibri" w:cs="Times New Roman"/>
                <w:color w:val="000000"/>
                <w:sz w:val="18"/>
                <w:szCs w:val="18"/>
                <w:lang w:eastAsia="es-ES"/>
              </w:rPr>
              <w:br/>
              <w:t xml:space="preserve">(14.969.689 orçamentado </w:t>
            </w:r>
            <w:r w:rsidRPr="006568A3">
              <w:rPr>
                <w:rFonts w:ascii="Calibri" w:eastAsia="Times New Roman" w:hAnsi="Calibri" w:cs="Times New Roman"/>
                <w:color w:val="000000"/>
                <w:sz w:val="18"/>
                <w:szCs w:val="18"/>
                <w:lang w:eastAsia="es-ES"/>
              </w:rPr>
              <w:br/>
              <w:t>no OE 2015)</w:t>
            </w:r>
            <w:r w:rsidRPr="006568A3">
              <w:rPr>
                <w:rFonts w:ascii="Calibri" w:eastAsia="Times New Roman" w:hAnsi="Calibri" w:cs="Times New Roman"/>
                <w:color w:val="000000"/>
                <w:sz w:val="18"/>
                <w:szCs w:val="18"/>
                <w:lang w:eastAsia="es-ES"/>
              </w:rPr>
              <w:br/>
              <w:t>I15 – Reforço da Igualdade e Equidade de Género</w:t>
            </w:r>
          </w:p>
        </w:tc>
      </w:tr>
      <w:tr w:rsidR="00E56BF0" w:rsidRPr="00C90523" w:rsidTr="00FF42C4">
        <w:trPr>
          <w:trHeight w:val="765"/>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Reuniões de acompanhamento y actividades específicas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1.092.000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38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Escritório (custos de funcionamento)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58.749.601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015"/>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7.4.2</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Elaborar cenários para o desenvolvimento institucional do mecanismo para a igualdade de género no contexto da reforma da administração pública em curso.</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color w:val="00B050"/>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Internacional 21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1.049.000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UNFPA &amp; ONU Mulheres</w:t>
            </w:r>
          </w:p>
        </w:tc>
      </w:tr>
      <w:tr w:rsidR="00E56BF0" w:rsidRPr="00C90523" w:rsidTr="00FF42C4">
        <w:trPr>
          <w:trHeight w:val="62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7.4.3</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Coordenar e acompanhar a implementação do PNIG incluindo o plano de seguimento e avaliação.</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(Coordenação do plano)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4.800.000   </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F33 – Promoção da Igualdade e Equidade de Género</w:t>
            </w:r>
            <w:r w:rsidRPr="006568A3">
              <w:rPr>
                <w:rFonts w:ascii="Calibri" w:eastAsia="Times New Roman" w:hAnsi="Calibri" w:cs="Times New Roman"/>
                <w:color w:val="000000"/>
                <w:sz w:val="18"/>
                <w:szCs w:val="18"/>
                <w:lang w:eastAsia="es-ES"/>
              </w:rPr>
              <w:br/>
              <w:t>I15 – Reforço da Igualdade e Equidade de Género</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567"/>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Viagens de seguimento e acompanhamento</w:t>
            </w:r>
            <w:r w:rsidRPr="006568A3">
              <w:rPr>
                <w:rFonts w:ascii="Calibri" w:eastAsia="Times New Roman" w:hAnsi="Calibri" w:cs="Times New Roman"/>
                <w:sz w:val="18"/>
                <w:szCs w:val="18"/>
                <w:lang w:eastAsia="es-ES"/>
              </w:rPr>
              <w:br/>
              <w:t>(3 dias)</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688.000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636"/>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de revisão a meio percurso + Facilitador (2 dias de trabalho)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410.000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14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Avaliação - Assistência técnica especializada Internacional 21 dias + Assistência técnica nacional</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1.811.000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1695"/>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7.4.4</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 xml:space="preserve">Desenhar e implementar uma estratégia de mobilização de recursos para a implementação do PNIG, que tenha em conta as modalidades de cooperação para o desenvolvimento a que Cabo Verde pode ter acesso, e as identificar potenciais fontes nacionais de financiamento. </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(1/2 tempo)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1.200.000   </w:t>
            </w:r>
          </w:p>
        </w:tc>
        <w:tc>
          <w:tcPr>
            <w:tcW w:w="2410"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Parceiros Internacionais</w:t>
            </w:r>
          </w:p>
        </w:tc>
      </w:tr>
      <w:tr w:rsidR="00E56BF0" w:rsidRPr="00C90523" w:rsidTr="00FF42C4">
        <w:trPr>
          <w:trHeight w:val="640"/>
        </w:trPr>
        <w:tc>
          <w:tcPr>
            <w:tcW w:w="595" w:type="dxa"/>
            <w:vMerge w:val="restart"/>
            <w:tcBorders>
              <w:top w:val="nil"/>
              <w:left w:val="single" w:sz="4" w:space="0" w:color="auto"/>
              <w:bottom w:val="single" w:sz="4" w:space="0" w:color="000000"/>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7.4.5</w:t>
            </w:r>
          </w:p>
        </w:tc>
        <w:tc>
          <w:tcPr>
            <w:tcW w:w="3061"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Formular um programa para o reforço das capacidades a nível local para o desenho e implementação de políticas de igualdade de género a nível municipal.</w:t>
            </w:r>
          </w:p>
        </w:tc>
        <w:tc>
          <w:tcPr>
            <w:tcW w:w="1022"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2015-2016</w:t>
            </w:r>
          </w:p>
        </w:tc>
        <w:tc>
          <w:tcPr>
            <w:tcW w:w="1134" w:type="dxa"/>
            <w:vMerge w:val="restart"/>
            <w:tcBorders>
              <w:top w:val="nil"/>
              <w:left w:val="nil"/>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MAPM/</w:t>
            </w:r>
          </w:p>
          <w:p w:rsidR="00E56BF0" w:rsidRPr="00C90523" w:rsidRDefault="006568A3" w:rsidP="00E56BF0">
            <w:pPr>
              <w:spacing w:after="0" w:line="240" w:lineRule="auto"/>
              <w:rPr>
                <w:rFonts w:ascii="Calibri" w:eastAsia="Times New Roman" w:hAnsi="Calibri" w:cs="Times New Roman"/>
                <w:color w:val="00B050"/>
                <w:sz w:val="18"/>
                <w:szCs w:val="18"/>
                <w:lang w:eastAsia="es-ES"/>
              </w:rPr>
            </w:pPr>
            <w:r w:rsidRPr="006568A3">
              <w:rPr>
                <w:rFonts w:ascii="Calibri" w:eastAsia="Times New Roman" w:hAnsi="Calibri" w:cs="Times New Roman"/>
                <w:sz w:val="18"/>
                <w:szCs w:val="18"/>
                <w:lang w:eastAsia="es-ES"/>
              </w:rPr>
              <w:t>ICIEG</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(1/2 tempo)</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    1.200.000   </w:t>
            </w:r>
          </w:p>
        </w:tc>
        <w:tc>
          <w:tcPr>
            <w:tcW w:w="2410" w:type="dxa"/>
            <w:vMerge w:val="restart"/>
            <w:tcBorders>
              <w:top w:val="nil"/>
              <w:left w:val="nil"/>
              <w:bottom w:val="single" w:sz="4" w:space="0" w:color="000000"/>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I15 – Reforço da Igualdade e Equidade de Género</w:t>
            </w:r>
            <w:r w:rsidRPr="006568A3">
              <w:rPr>
                <w:rFonts w:ascii="Calibri" w:eastAsia="Times New Roman" w:hAnsi="Calibri" w:cs="Times New Roman"/>
                <w:color w:val="000000"/>
                <w:sz w:val="18"/>
                <w:szCs w:val="18"/>
                <w:lang w:eastAsia="es-ES"/>
              </w:rPr>
              <w:br/>
              <w:t>F7 – Melhoria da descentralização</w:t>
            </w:r>
            <w:r w:rsidRPr="006568A3">
              <w:rPr>
                <w:rFonts w:ascii="Calibri" w:eastAsia="Times New Roman" w:hAnsi="Calibri" w:cs="Times New Roman"/>
                <w:color w:val="000000"/>
                <w:sz w:val="18"/>
                <w:szCs w:val="18"/>
                <w:lang w:eastAsia="es-ES"/>
              </w:rPr>
              <w:br/>
              <w:t>Parceiros Internacionais</w:t>
            </w:r>
          </w:p>
        </w:tc>
      </w:tr>
      <w:tr w:rsidR="00E56BF0" w:rsidRPr="00C90523" w:rsidTr="00FF42C4">
        <w:trPr>
          <w:trHeight w:val="380"/>
        </w:trPr>
        <w:tc>
          <w:tcPr>
            <w:tcW w:w="595" w:type="dxa"/>
            <w:vMerge/>
            <w:tcBorders>
              <w:top w:val="nil"/>
              <w:left w:val="single" w:sz="4" w:space="0" w:color="auto"/>
              <w:bottom w:val="single" w:sz="4" w:space="0" w:color="000000"/>
              <w:right w:val="nil"/>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3061"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022"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c>
          <w:tcPr>
            <w:tcW w:w="1134" w:type="dxa"/>
            <w:vMerge/>
            <w:tcBorders>
              <w:left w:val="nil"/>
              <w:bottom w:val="single" w:sz="4" w:space="0" w:color="auto"/>
              <w:right w:val="single" w:sz="4" w:space="0" w:color="auto"/>
            </w:tcBorders>
            <w:shd w:val="clear" w:color="auto" w:fill="auto"/>
            <w:hideMark/>
          </w:tcPr>
          <w:p w:rsidR="00E56BF0" w:rsidRPr="00C90523" w:rsidRDefault="00E56BF0" w:rsidP="00E56BF0">
            <w:pPr>
              <w:spacing w:after="0" w:line="240" w:lineRule="auto"/>
              <w:rPr>
                <w:rFonts w:ascii="Calibri" w:eastAsia="Times New Roman" w:hAnsi="Calibri" w:cs="Times New Roman"/>
                <w:color w:val="00B050"/>
                <w:sz w:val="18"/>
                <w:szCs w:val="18"/>
                <w:lang w:eastAsia="es-ES"/>
              </w:rPr>
            </w:pP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Atelier local (30 participantes) 3 dia</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4.620.000   </w:t>
            </w:r>
          </w:p>
        </w:tc>
        <w:tc>
          <w:tcPr>
            <w:tcW w:w="2410" w:type="dxa"/>
            <w:vMerge/>
            <w:tcBorders>
              <w:top w:val="nil"/>
              <w:left w:val="nil"/>
              <w:bottom w:val="single" w:sz="4" w:space="0" w:color="000000"/>
              <w:right w:val="single" w:sz="4" w:space="0" w:color="auto"/>
            </w:tcBorders>
            <w:vAlign w:val="center"/>
            <w:hideMark/>
          </w:tcPr>
          <w:p w:rsidR="00E56BF0" w:rsidRPr="00C90523" w:rsidRDefault="00E56BF0" w:rsidP="00E56BF0">
            <w:pPr>
              <w:spacing w:after="0" w:line="240" w:lineRule="auto"/>
              <w:rPr>
                <w:rFonts w:ascii="Calibri" w:eastAsia="Times New Roman" w:hAnsi="Calibri" w:cs="Times New Roman"/>
                <w:color w:val="000000"/>
                <w:sz w:val="18"/>
                <w:szCs w:val="18"/>
                <w:lang w:eastAsia="es-ES"/>
              </w:rPr>
            </w:pPr>
          </w:p>
        </w:tc>
      </w:tr>
      <w:tr w:rsidR="00E56BF0" w:rsidRPr="00C90523" w:rsidTr="00FF42C4">
        <w:trPr>
          <w:trHeight w:val="2460"/>
        </w:trPr>
        <w:tc>
          <w:tcPr>
            <w:tcW w:w="595" w:type="dxa"/>
            <w:tcBorders>
              <w:top w:val="nil"/>
              <w:left w:val="single" w:sz="4" w:space="0" w:color="auto"/>
              <w:bottom w:val="single" w:sz="4" w:space="0" w:color="auto"/>
              <w:right w:val="nil"/>
            </w:tcBorders>
            <w:shd w:val="clear" w:color="auto" w:fill="auto"/>
            <w:hideMark/>
          </w:tcPr>
          <w:p w:rsidR="00E56BF0" w:rsidRPr="00C90523" w:rsidRDefault="006568A3" w:rsidP="00E56BF0">
            <w:pPr>
              <w:spacing w:after="0" w:line="240" w:lineRule="auto"/>
              <w:jc w:val="right"/>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7.5.1</w:t>
            </w:r>
          </w:p>
        </w:tc>
        <w:tc>
          <w:tcPr>
            <w:tcW w:w="3061"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Promover a elaboração/revisão/aprovação de medidas legislativas e regulamentares em áreas chave para promover os direitos humanos das mulheres e a igualdade de género, tais como a regulamentação da lei VBG, licença de maternidade e paternidade, princípio de pago igual por trabalho igual no código laboral, regulamentação da lei IVG, entre outros.</w:t>
            </w:r>
          </w:p>
        </w:tc>
        <w:tc>
          <w:tcPr>
            <w:tcW w:w="1022"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color w:val="000000"/>
                <w:sz w:val="18"/>
                <w:szCs w:val="18"/>
                <w:lang w:eastAsia="es-ES"/>
              </w:rPr>
            </w:pPr>
            <w:r w:rsidRPr="006568A3">
              <w:rPr>
                <w:rFonts w:ascii="Calibri" w:eastAsia="Times New Roman" w:hAnsi="Calibri" w:cs="Times New Roman"/>
                <w:color w:val="000000"/>
                <w:sz w:val="18"/>
                <w:szCs w:val="18"/>
                <w:lang w:eastAsia="es-ES"/>
              </w:rPr>
              <w:t>2015-2108</w:t>
            </w:r>
          </w:p>
        </w:tc>
        <w:tc>
          <w:tcPr>
            <w:tcW w:w="1134"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Assembleia/RMP-CV</w:t>
            </w:r>
          </w:p>
        </w:tc>
        <w:tc>
          <w:tcPr>
            <w:tcW w:w="1843"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Assistência técnica especializada jurídica</w:t>
            </w:r>
            <w:r w:rsidRPr="006568A3">
              <w:rPr>
                <w:rFonts w:ascii="Calibri" w:eastAsia="Times New Roman" w:hAnsi="Calibri" w:cs="Times New Roman"/>
                <w:sz w:val="18"/>
                <w:szCs w:val="18"/>
                <w:lang w:eastAsia="es-ES"/>
              </w:rPr>
              <w:br/>
              <w:t>(Envolvida também nas medidas 6.1.1, 6.1.2, 6.2.1, 6.3.1)</w:t>
            </w:r>
          </w:p>
        </w:tc>
        <w:tc>
          <w:tcPr>
            <w:tcW w:w="1276" w:type="dxa"/>
            <w:tcBorders>
              <w:top w:val="nil"/>
              <w:left w:val="nil"/>
              <w:bottom w:val="single" w:sz="4" w:space="0" w:color="auto"/>
              <w:right w:val="single" w:sz="4" w:space="0" w:color="auto"/>
            </w:tcBorders>
            <w:shd w:val="clear" w:color="auto" w:fill="auto"/>
            <w:noWrap/>
            <w:hideMark/>
          </w:tcPr>
          <w:p w:rsidR="00E56BF0" w:rsidRPr="00C90523" w:rsidRDefault="006568A3" w:rsidP="00E56BF0">
            <w:pPr>
              <w:spacing w:after="0" w:line="240" w:lineRule="auto"/>
              <w:jc w:val="right"/>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 xml:space="preserve">3.600.000   </w:t>
            </w:r>
          </w:p>
        </w:tc>
        <w:tc>
          <w:tcPr>
            <w:tcW w:w="2410" w:type="dxa"/>
            <w:tcBorders>
              <w:top w:val="nil"/>
              <w:left w:val="nil"/>
              <w:bottom w:val="single" w:sz="4" w:space="0" w:color="auto"/>
              <w:right w:val="single" w:sz="4" w:space="0" w:color="auto"/>
            </w:tcBorders>
            <w:shd w:val="clear" w:color="auto" w:fill="auto"/>
            <w:hideMark/>
          </w:tcPr>
          <w:p w:rsidR="00E56BF0" w:rsidRPr="00C90523" w:rsidRDefault="006568A3" w:rsidP="00E56BF0">
            <w:pPr>
              <w:spacing w:after="0" w:line="240" w:lineRule="auto"/>
              <w:rPr>
                <w:rFonts w:ascii="Calibri" w:eastAsia="Times New Roman" w:hAnsi="Calibri" w:cs="Times New Roman"/>
                <w:sz w:val="18"/>
                <w:szCs w:val="18"/>
                <w:lang w:eastAsia="es-ES"/>
              </w:rPr>
            </w:pPr>
            <w:r w:rsidRPr="006568A3">
              <w:rPr>
                <w:rFonts w:ascii="Calibri" w:eastAsia="Times New Roman" w:hAnsi="Calibri" w:cs="Times New Roman"/>
                <w:sz w:val="18"/>
                <w:szCs w:val="18"/>
                <w:lang w:eastAsia="es-ES"/>
              </w:rPr>
              <w:t>F25.- Promoção da legalidade democrática do interesse publico e da ação penal.</w:t>
            </w:r>
            <w:r w:rsidRPr="006568A3">
              <w:rPr>
                <w:rFonts w:ascii="Calibri" w:eastAsia="Times New Roman" w:hAnsi="Calibri" w:cs="Times New Roman"/>
                <w:sz w:val="18"/>
                <w:szCs w:val="18"/>
                <w:lang w:eastAsia="es-ES"/>
              </w:rPr>
              <w:br/>
              <w:t>Parceiros Internacionais</w:t>
            </w: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F2F2F2" w:themeFill="background1" w:themeFillShade="F2"/>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F2F2F2" w:themeFill="background1" w:themeFillShade="F2"/>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Subtotal Reforço institucional para a integração da abordagem de género nas políticas públicas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 xml:space="preserve">104.076.601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56BF0" w:rsidRPr="00C90523"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278"/>
        </w:trPr>
        <w:tc>
          <w:tcPr>
            <w:tcW w:w="595" w:type="dxa"/>
            <w:tcBorders>
              <w:top w:val="single" w:sz="4" w:space="0" w:color="auto"/>
              <w:left w:val="single" w:sz="4" w:space="0" w:color="auto"/>
              <w:bottom w:val="single" w:sz="4" w:space="0" w:color="auto"/>
            </w:tcBorders>
            <w:shd w:val="clear" w:color="auto" w:fill="BFBFBF" w:themeFill="background1" w:themeFillShade="BF"/>
            <w:hideMark/>
          </w:tcPr>
          <w:p w:rsidR="00E56BF0" w:rsidRPr="00C90523" w:rsidRDefault="00E56BF0" w:rsidP="00E56BF0">
            <w:pPr>
              <w:spacing w:after="0" w:line="240" w:lineRule="auto"/>
              <w:jc w:val="right"/>
              <w:rPr>
                <w:rFonts w:ascii="Calibri" w:eastAsia="Times New Roman" w:hAnsi="Calibri" w:cs="Times New Roman"/>
                <w:b/>
                <w:color w:val="000000"/>
                <w:lang w:eastAsia="es-ES"/>
              </w:rPr>
            </w:pPr>
          </w:p>
        </w:tc>
        <w:tc>
          <w:tcPr>
            <w:tcW w:w="7060" w:type="dxa"/>
            <w:gridSpan w:val="4"/>
            <w:tcBorders>
              <w:top w:val="single" w:sz="4" w:space="0" w:color="auto"/>
              <w:bottom w:val="single" w:sz="4" w:space="0" w:color="auto"/>
              <w:right w:val="single" w:sz="4" w:space="0" w:color="auto"/>
            </w:tcBorders>
            <w:shd w:val="clear" w:color="auto" w:fill="BFBFBF" w:themeFill="background1" w:themeFillShade="BF"/>
            <w:hideMark/>
          </w:tcPr>
          <w:p w:rsidR="00E56BF0" w:rsidRPr="00C90523" w:rsidRDefault="006568A3" w:rsidP="00E56BF0">
            <w:pPr>
              <w:spacing w:after="0" w:line="240" w:lineRule="auto"/>
              <w:rPr>
                <w:rFonts w:ascii="Calibri" w:eastAsia="Times New Roman" w:hAnsi="Calibri" w:cs="Times New Roman"/>
                <w:b/>
                <w:color w:val="000000"/>
                <w:lang w:eastAsia="es-ES"/>
              </w:rPr>
            </w:pPr>
            <w:r w:rsidRPr="006568A3">
              <w:rPr>
                <w:rFonts w:ascii="Calibri" w:eastAsia="Times New Roman" w:hAnsi="Calibri" w:cs="Times New Roman"/>
                <w:b/>
                <w:color w:val="000000"/>
                <w:lang w:eastAsia="es-ES"/>
              </w:rPr>
              <w:t>TOTAL PNIG</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56BF0" w:rsidRPr="00861276" w:rsidRDefault="00E56BF0" w:rsidP="00E56BF0">
            <w:pPr>
              <w:spacing w:after="0" w:line="240" w:lineRule="auto"/>
              <w:jc w:val="right"/>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184.950.601</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56BF0" w:rsidRPr="00C90523" w:rsidRDefault="00E56BF0" w:rsidP="00E56BF0">
            <w:pPr>
              <w:spacing w:after="0" w:line="240" w:lineRule="auto"/>
              <w:rPr>
                <w:rFonts w:ascii="Calibri" w:eastAsia="Times New Roman" w:hAnsi="Calibri" w:cs="Times New Roman"/>
                <w:b/>
                <w:color w:val="000000"/>
                <w:sz w:val="18"/>
                <w:szCs w:val="18"/>
                <w:lang w:eastAsia="es-ES"/>
              </w:rPr>
            </w:pPr>
          </w:p>
        </w:tc>
      </w:tr>
      <w:tr w:rsidR="00E56BF0" w:rsidRPr="00C90523" w:rsidTr="00FF42C4">
        <w:trPr>
          <w:trHeight w:val="300"/>
        </w:trPr>
        <w:tc>
          <w:tcPr>
            <w:tcW w:w="595"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jc w:val="right"/>
              <w:rPr>
                <w:rFonts w:ascii="Calibri" w:eastAsia="Times New Roman" w:hAnsi="Calibri" w:cs="Times New Roman"/>
                <w:color w:val="000000"/>
                <w:lang w:eastAsia="es-ES"/>
              </w:rPr>
            </w:pPr>
          </w:p>
        </w:tc>
        <w:tc>
          <w:tcPr>
            <w:tcW w:w="3061"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022"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134"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843"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c>
          <w:tcPr>
            <w:tcW w:w="1276"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b/>
                <w:bCs/>
                <w:color w:val="000000"/>
                <w:lang w:eastAsia="es-ES"/>
              </w:rPr>
            </w:pPr>
            <w:r w:rsidRPr="00C90523">
              <w:rPr>
                <w:rFonts w:ascii="Calibri" w:eastAsia="Times New Roman" w:hAnsi="Calibri" w:cs="Times New Roman"/>
                <w:b/>
                <w:bCs/>
                <w:color w:val="000000"/>
                <w:lang w:eastAsia="es-ES"/>
              </w:rPr>
              <w:t xml:space="preserve">          </w:t>
            </w:r>
          </w:p>
        </w:tc>
        <w:tc>
          <w:tcPr>
            <w:tcW w:w="2410" w:type="dxa"/>
            <w:tcBorders>
              <w:top w:val="nil"/>
              <w:left w:val="nil"/>
              <w:bottom w:val="nil"/>
              <w:right w:val="nil"/>
            </w:tcBorders>
            <w:shd w:val="clear" w:color="auto" w:fill="auto"/>
            <w:noWrap/>
            <w:vAlign w:val="bottom"/>
            <w:hideMark/>
          </w:tcPr>
          <w:p w:rsidR="00E56BF0" w:rsidRPr="00C90523" w:rsidRDefault="00E56BF0" w:rsidP="00E56BF0">
            <w:pPr>
              <w:spacing w:after="0" w:line="240" w:lineRule="auto"/>
              <w:rPr>
                <w:rFonts w:ascii="Calibri" w:eastAsia="Times New Roman" w:hAnsi="Calibri" w:cs="Times New Roman"/>
                <w:color w:val="000000"/>
                <w:lang w:eastAsia="es-ES"/>
              </w:rPr>
            </w:pPr>
          </w:p>
        </w:tc>
      </w:tr>
    </w:tbl>
    <w:p w:rsidR="00E56BF0" w:rsidRPr="00C90523" w:rsidRDefault="00E56BF0" w:rsidP="00E56BF0"/>
    <w:p w:rsidR="00E56BF0" w:rsidRPr="00C90523" w:rsidRDefault="00E56BF0" w:rsidP="008E6638">
      <w:pPr>
        <w:jc w:val="both"/>
        <w:rPr>
          <w:bCs/>
        </w:rPr>
      </w:pPr>
    </w:p>
    <w:p w:rsidR="00272897" w:rsidRPr="00C90523" w:rsidRDefault="006568A3">
      <w:pPr>
        <w:rPr>
          <w:rFonts w:asciiTheme="majorHAnsi" w:eastAsiaTheme="majorEastAsia" w:hAnsiTheme="majorHAnsi" w:cstheme="majorBidi"/>
          <w:b/>
          <w:bCs/>
          <w:color w:val="365F91" w:themeColor="accent1" w:themeShade="BF"/>
          <w:sz w:val="28"/>
          <w:szCs w:val="28"/>
        </w:rPr>
      </w:pPr>
      <w:r w:rsidRPr="006568A3">
        <w:br w:type="page"/>
      </w:r>
    </w:p>
    <w:p w:rsidR="002F0FFA" w:rsidRPr="00C90523" w:rsidRDefault="006568A3" w:rsidP="005202AB">
      <w:pPr>
        <w:pStyle w:val="Cabealho1"/>
      </w:pPr>
      <w:bookmarkStart w:id="95" w:name="_Toc406667311"/>
      <w:r w:rsidRPr="006568A3">
        <w:t>SIGLAS E ACRÔNIMOS</w:t>
      </w:r>
      <w:bookmarkEnd w:id="95"/>
    </w:p>
    <w:p w:rsidR="00103575" w:rsidRPr="00C90523" w:rsidRDefault="00103575" w:rsidP="002F0FFA">
      <w:pPr>
        <w:rPr>
          <w:rFonts w:asciiTheme="majorHAnsi" w:eastAsiaTheme="majorEastAsia" w:hAnsiTheme="majorHAnsi" w:cstheme="majorBidi"/>
          <w:color w:val="365F91" w:themeColor="accent1" w:themeShade="BF"/>
          <w:sz w:val="28"/>
          <w:szCs w:val="28"/>
        </w:rPr>
      </w:pPr>
    </w:p>
    <w:tbl>
      <w:tblPr>
        <w:tblStyle w:val="Tabelacomgrelha"/>
        <w:tblW w:w="10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8512"/>
      </w:tblGrid>
      <w:tr w:rsidR="00103575" w:rsidRPr="00C90523" w:rsidTr="00615F73">
        <w:trPr>
          <w:jc w:val="center"/>
        </w:trPr>
        <w:tc>
          <w:tcPr>
            <w:tcW w:w="1713" w:type="dxa"/>
            <w:vAlign w:val="center"/>
          </w:tcPr>
          <w:p w:rsidR="00103575" w:rsidRPr="00861276" w:rsidRDefault="00103575" w:rsidP="00C90523">
            <w:pPr>
              <w:rPr>
                <w:rFonts w:cs="Times New Roman"/>
              </w:rPr>
            </w:pPr>
            <w:r w:rsidRPr="00C90523">
              <w:rPr>
                <w:rFonts w:cs="Times New Roman"/>
              </w:rPr>
              <w:t>A</w:t>
            </w:r>
            <w:r w:rsidRPr="00861276">
              <w:rPr>
                <w:rFonts w:cs="Times New Roman"/>
              </w:rPr>
              <w:t>CB</w:t>
            </w:r>
          </w:p>
        </w:tc>
        <w:tc>
          <w:tcPr>
            <w:tcW w:w="8512" w:type="dxa"/>
            <w:vAlign w:val="center"/>
          </w:tcPr>
          <w:p w:rsidR="00103575" w:rsidRPr="00C90523" w:rsidRDefault="00103575" w:rsidP="00C90523">
            <w:pPr>
              <w:rPr>
                <w:rFonts w:cs="Times New Roman"/>
              </w:rPr>
            </w:pPr>
            <w:r w:rsidRPr="00C90523">
              <w:rPr>
                <w:rFonts w:cs="Times New Roman"/>
              </w:rPr>
              <w:t xml:space="preserve">Associações Comunitárias de Base </w:t>
            </w:r>
          </w:p>
        </w:tc>
      </w:tr>
      <w:tr w:rsidR="00103575" w:rsidRPr="00C90523" w:rsidTr="00615F73">
        <w:trPr>
          <w:jc w:val="center"/>
        </w:trPr>
        <w:tc>
          <w:tcPr>
            <w:tcW w:w="1713" w:type="dxa"/>
            <w:vAlign w:val="center"/>
          </w:tcPr>
          <w:p w:rsidR="00103575" w:rsidRPr="00C90523" w:rsidRDefault="006568A3" w:rsidP="00C90523">
            <w:pPr>
              <w:rPr>
                <w:rFonts w:cs="Times New Roman"/>
              </w:rPr>
            </w:pPr>
            <w:r w:rsidRPr="006568A3">
              <w:rPr>
                <w:rFonts w:eastAsia="Times New Roman" w:cs="Times New Roman"/>
                <w:lang w:eastAsia="es-ES"/>
              </w:rPr>
              <w:t>ADAD</w:t>
            </w:r>
          </w:p>
        </w:tc>
        <w:tc>
          <w:tcPr>
            <w:tcW w:w="8512" w:type="dxa"/>
            <w:vAlign w:val="center"/>
          </w:tcPr>
          <w:p w:rsidR="00103575" w:rsidRPr="00C90523" w:rsidRDefault="006568A3" w:rsidP="00C90523">
            <w:pPr>
              <w:rPr>
                <w:rFonts w:cs="Times New Roman"/>
              </w:rPr>
            </w:pPr>
            <w:r w:rsidRPr="006568A3">
              <w:rPr>
                <w:rFonts w:eastAsia="Times New Roman" w:cs="Times New Roman"/>
                <w:lang w:eastAsia="es-ES"/>
              </w:rPr>
              <w:t>Associação para Defesa do Ambiente e Desenvolvimento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ADEI</w:t>
            </w:r>
          </w:p>
        </w:tc>
        <w:tc>
          <w:tcPr>
            <w:tcW w:w="8512" w:type="dxa"/>
            <w:vAlign w:val="center"/>
          </w:tcPr>
          <w:p w:rsidR="00103575" w:rsidRPr="00C90523" w:rsidRDefault="001E6F8E" w:rsidP="00C90523">
            <w:pPr>
              <w:spacing w:line="276" w:lineRule="auto"/>
              <w:rPr>
                <w:rFonts w:cs="Times New Roman"/>
              </w:rPr>
            </w:pPr>
            <w:hyperlink r:id="rId45" w:history="1">
              <w:r w:rsidR="00103575" w:rsidRPr="00861276">
                <w:rPr>
                  <w:rFonts w:cs="Times New Roman"/>
                </w:rPr>
                <w:t>Agência para o Desenvolvimento Empresarial e Inovação</w:t>
              </w:r>
            </w:hyperlink>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ADGI</w:t>
            </w:r>
          </w:p>
        </w:tc>
        <w:tc>
          <w:tcPr>
            <w:tcW w:w="8512" w:type="dxa"/>
            <w:vAlign w:val="center"/>
          </w:tcPr>
          <w:p w:rsidR="00103575" w:rsidRPr="00C90523" w:rsidRDefault="00103575" w:rsidP="00C90523">
            <w:pPr>
              <w:spacing w:line="276" w:lineRule="auto"/>
              <w:rPr>
                <w:rFonts w:cs="Times New Roman"/>
              </w:rPr>
            </w:pPr>
            <w:r w:rsidRPr="00C90523">
              <w:rPr>
                <w:rFonts w:cs="Times New Roman"/>
              </w:rPr>
              <w:t>Índice Africano do Género e Desenvolvimento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AGR</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 xml:space="preserve">Actividade Geradoras de Rendimento </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AJEC</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Associação de Jovens Empresários de Cabo Verde</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AJOC</w:t>
            </w:r>
          </w:p>
        </w:tc>
        <w:tc>
          <w:tcPr>
            <w:tcW w:w="8512" w:type="dxa"/>
            <w:vAlign w:val="center"/>
          </w:tcPr>
          <w:p w:rsidR="00103575" w:rsidRPr="00C90523" w:rsidRDefault="00103575" w:rsidP="00C90523">
            <w:pPr>
              <w:shd w:val="clear" w:color="auto" w:fill="FFFFFF"/>
              <w:spacing w:line="276" w:lineRule="auto"/>
              <w:rPr>
                <w:rFonts w:cs="Times New Roman"/>
              </w:rPr>
            </w:pPr>
            <w:r w:rsidRPr="00C90523">
              <w:rPr>
                <w:rFonts w:cs="Times New Roman"/>
              </w:rPr>
              <w:t xml:space="preserve">Associação dos Jornalistas de Cabo Verde </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AMJ</w:t>
            </w:r>
          </w:p>
        </w:tc>
        <w:tc>
          <w:tcPr>
            <w:tcW w:w="8512" w:type="dxa"/>
            <w:vAlign w:val="center"/>
          </w:tcPr>
          <w:p w:rsidR="00103575" w:rsidRPr="00C90523" w:rsidRDefault="00103575" w:rsidP="00C90523">
            <w:pPr>
              <w:shd w:val="clear" w:color="auto" w:fill="FFFFFF"/>
              <w:rPr>
                <w:rFonts w:cs="Times New Roman"/>
              </w:rPr>
            </w:pPr>
            <w:r w:rsidRPr="00C90523">
              <w:rPr>
                <w:rFonts w:cs="Times New Roman"/>
              </w:rPr>
              <w:t>Associação de Mulheres Juristas</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AN</w:t>
            </w:r>
          </w:p>
        </w:tc>
        <w:tc>
          <w:tcPr>
            <w:tcW w:w="8512" w:type="dxa"/>
            <w:vAlign w:val="center"/>
          </w:tcPr>
          <w:p w:rsidR="00103575" w:rsidRPr="00C90523" w:rsidRDefault="00103575" w:rsidP="00C90523">
            <w:pPr>
              <w:shd w:val="clear" w:color="auto" w:fill="FFFFFF"/>
              <w:rPr>
                <w:rFonts w:cs="Times New Roman"/>
              </w:rPr>
            </w:pPr>
            <w:r w:rsidRPr="00C90523">
              <w:rPr>
                <w:rFonts w:cs="Times New Roman"/>
              </w:rPr>
              <w:t>Assembleia Nacional</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ANAS</w:t>
            </w:r>
          </w:p>
        </w:tc>
        <w:tc>
          <w:tcPr>
            <w:tcW w:w="8512" w:type="dxa"/>
            <w:vAlign w:val="center"/>
          </w:tcPr>
          <w:p w:rsidR="00103575" w:rsidRPr="00C90523" w:rsidRDefault="00103575" w:rsidP="00C90523">
            <w:pPr>
              <w:shd w:val="clear" w:color="auto" w:fill="FFFFFF"/>
              <w:rPr>
                <w:rFonts w:cs="Times New Roman"/>
              </w:rPr>
            </w:pPr>
            <w:r w:rsidRPr="00C90523">
              <w:rPr>
                <w:rFonts w:cs="Times New Roman"/>
              </w:rPr>
              <w:t>Agência Nacional de Água e Saneamento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ANMCV</w:t>
            </w:r>
          </w:p>
        </w:tc>
        <w:tc>
          <w:tcPr>
            <w:tcW w:w="8512" w:type="dxa"/>
            <w:vAlign w:val="center"/>
          </w:tcPr>
          <w:p w:rsidR="00103575" w:rsidRPr="00C90523" w:rsidRDefault="00103575" w:rsidP="00C90523">
            <w:pPr>
              <w:shd w:val="clear" w:color="auto" w:fill="FFFFFF"/>
              <w:rPr>
                <w:rFonts w:cs="Times New Roman"/>
              </w:rPr>
            </w:pPr>
            <w:r w:rsidRPr="00C90523">
              <w:rPr>
                <w:rFonts w:cs="Times New Roman"/>
              </w:rPr>
              <w:t>Associação Nacional de Municípios de Cabo Verde</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APIS</w:t>
            </w:r>
          </w:p>
        </w:tc>
        <w:tc>
          <w:tcPr>
            <w:tcW w:w="8512" w:type="dxa"/>
            <w:vAlign w:val="center"/>
          </w:tcPr>
          <w:p w:rsidR="00103575" w:rsidRPr="00C90523" w:rsidRDefault="00103575" w:rsidP="00C90523">
            <w:pPr>
              <w:pStyle w:val="Default"/>
              <w:spacing w:line="276" w:lineRule="auto"/>
              <w:rPr>
                <w:rFonts w:asciiTheme="minorHAnsi" w:hAnsiTheme="minorHAnsi" w:cs="Times New Roman"/>
                <w:i/>
                <w:color w:val="auto"/>
                <w:sz w:val="22"/>
                <w:szCs w:val="22"/>
              </w:rPr>
            </w:pPr>
            <w:r w:rsidRPr="00C90523">
              <w:rPr>
                <w:rFonts w:asciiTheme="minorHAnsi" w:hAnsiTheme="minorHAnsi" w:cs="Times New Roman"/>
                <w:i/>
                <w:color w:val="auto"/>
                <w:sz w:val="22"/>
                <w:szCs w:val="22"/>
              </w:rPr>
              <w:t>AIDS Prevention Indicator Survey</w:t>
            </w:r>
          </w:p>
        </w:tc>
      </w:tr>
      <w:tr w:rsidR="00103575" w:rsidRPr="00C90523" w:rsidTr="00615F73">
        <w:trPr>
          <w:jc w:val="center"/>
        </w:trPr>
        <w:tc>
          <w:tcPr>
            <w:tcW w:w="1713" w:type="dxa"/>
            <w:vAlign w:val="center"/>
          </w:tcPr>
          <w:p w:rsidR="00103575" w:rsidRPr="00C90523" w:rsidRDefault="00103575" w:rsidP="00C90523">
            <w:pPr>
              <w:spacing w:after="200" w:line="276" w:lineRule="auto"/>
              <w:rPr>
                <w:rStyle w:val="longtext"/>
                <w:rFonts w:cs="Times New Roman"/>
                <w:shd w:val="clear" w:color="auto" w:fill="FFFFFF"/>
              </w:rPr>
            </w:pPr>
            <w:r w:rsidRPr="00C90523">
              <w:rPr>
                <w:rStyle w:val="longtext"/>
                <w:rFonts w:cs="Times New Roman"/>
                <w:shd w:val="clear" w:color="auto" w:fill="FFFFFF"/>
              </w:rPr>
              <w:t>ARV</w:t>
            </w:r>
          </w:p>
        </w:tc>
        <w:tc>
          <w:tcPr>
            <w:tcW w:w="8512" w:type="dxa"/>
            <w:vAlign w:val="center"/>
          </w:tcPr>
          <w:p w:rsidR="00103575" w:rsidRPr="00C90523" w:rsidRDefault="00103575" w:rsidP="00C90523">
            <w:pPr>
              <w:shd w:val="clear" w:color="auto" w:fill="FFFFFF"/>
              <w:spacing w:line="276" w:lineRule="auto"/>
              <w:rPr>
                <w:rFonts w:cs="Times New Roman"/>
              </w:rPr>
            </w:pPr>
            <w:r w:rsidRPr="00C90523">
              <w:rPr>
                <w:rFonts w:cs="Times New Roman"/>
              </w:rPr>
              <w:t>Anti-retrovirais</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AU</w:t>
            </w:r>
          </w:p>
        </w:tc>
        <w:tc>
          <w:tcPr>
            <w:tcW w:w="8512"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União Africana</w:t>
            </w:r>
          </w:p>
        </w:tc>
      </w:tr>
      <w:tr w:rsidR="00103575" w:rsidRPr="00C90523" w:rsidTr="00615F73">
        <w:trPr>
          <w:jc w:val="center"/>
        </w:trPr>
        <w:tc>
          <w:tcPr>
            <w:tcW w:w="1713" w:type="dxa"/>
            <w:vAlign w:val="center"/>
          </w:tcPr>
          <w:p w:rsidR="00103575" w:rsidRPr="00C90523" w:rsidRDefault="00103575" w:rsidP="00C90523">
            <w:pPr>
              <w:spacing w:after="200" w:line="276" w:lineRule="auto"/>
              <w:rPr>
                <w:rStyle w:val="longtext"/>
                <w:rFonts w:cs="Times New Roman"/>
                <w:shd w:val="clear" w:color="auto" w:fill="FFFFFF"/>
              </w:rPr>
            </w:pPr>
            <w:r w:rsidRPr="00C90523">
              <w:rPr>
                <w:rStyle w:val="longtext"/>
                <w:rFonts w:cs="Times New Roman"/>
                <w:shd w:val="clear" w:color="auto" w:fill="FFFFFF"/>
              </w:rPr>
              <w:t>BO</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Boletim Oficial</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CCS-SIDA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Comité de Coordenação do Combate à SIDA</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CEAJDHCS</w:t>
            </w:r>
          </w:p>
        </w:tc>
        <w:tc>
          <w:tcPr>
            <w:tcW w:w="8512" w:type="dxa"/>
            <w:vAlign w:val="center"/>
          </w:tcPr>
          <w:p w:rsidR="00103575" w:rsidRPr="00C90523" w:rsidRDefault="00103575" w:rsidP="00C90523">
            <w:pPr>
              <w:autoSpaceDE w:val="0"/>
              <w:autoSpaceDN w:val="0"/>
              <w:adjustRightInd w:val="0"/>
              <w:rPr>
                <w:rFonts w:cs="Times New Roman"/>
                <w:i/>
              </w:rPr>
            </w:pPr>
            <w:r w:rsidRPr="00C90523">
              <w:rPr>
                <w:rFonts w:cs="Times New Roman"/>
              </w:rPr>
              <w:t>Comissão Especializada em Assuntos Jurídicos, Direitos Humanos e Comunicação Social</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CEDAW</w:t>
            </w:r>
          </w:p>
        </w:tc>
        <w:tc>
          <w:tcPr>
            <w:tcW w:w="8512"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Convenção para a Eliminação de Todas as Formas de Discriminação contra as Mulheres</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CEDEAO</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Comunidade Económica Dos Estados da África Ocidental</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CEJ</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Centro de Juventude</w:t>
            </w:r>
          </w:p>
        </w:tc>
      </w:tr>
      <w:tr w:rsidR="00103575" w:rsidRPr="00C90523" w:rsidTr="00615F73">
        <w:trPr>
          <w:jc w:val="center"/>
        </w:trPr>
        <w:tc>
          <w:tcPr>
            <w:tcW w:w="1713" w:type="dxa"/>
            <w:vAlign w:val="center"/>
          </w:tcPr>
          <w:p w:rsidR="00103575" w:rsidRPr="00C90523" w:rsidRDefault="00103575" w:rsidP="00C90523">
            <w:pPr>
              <w:spacing w:line="276" w:lineRule="auto"/>
              <w:rPr>
                <w:rFonts w:cs="Times New Roman"/>
              </w:rPr>
            </w:pPr>
            <w:r w:rsidRPr="00C90523">
              <w:rPr>
                <w:rFonts w:cs="Times New Roman"/>
              </w:rPr>
              <w:t>CEPAL</w:t>
            </w:r>
          </w:p>
        </w:tc>
        <w:tc>
          <w:tcPr>
            <w:tcW w:w="8512" w:type="dxa"/>
            <w:vAlign w:val="center"/>
          </w:tcPr>
          <w:p w:rsidR="00103575" w:rsidRPr="00C90523" w:rsidRDefault="00103575" w:rsidP="00C90523">
            <w:pPr>
              <w:spacing w:line="276" w:lineRule="auto"/>
              <w:rPr>
                <w:rFonts w:cs="Times New Roman"/>
              </w:rPr>
            </w:pPr>
            <w:r w:rsidRPr="00C90523">
              <w:rPr>
                <w:rFonts w:cs="Times New Roman"/>
              </w:rPr>
              <w:t>Comissão Económica das Nações Unidas para a América Latina e Caribe</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CIGEF</w:t>
            </w:r>
          </w:p>
        </w:tc>
        <w:tc>
          <w:tcPr>
            <w:tcW w:w="8512" w:type="dxa"/>
            <w:vAlign w:val="center"/>
          </w:tcPr>
          <w:p w:rsidR="00103575" w:rsidRPr="00C90523" w:rsidRDefault="00103575" w:rsidP="00C90523">
            <w:pPr>
              <w:pStyle w:val="PargrafodaLista"/>
              <w:autoSpaceDE w:val="0"/>
              <w:autoSpaceDN w:val="0"/>
              <w:adjustRightInd w:val="0"/>
              <w:spacing w:line="276" w:lineRule="auto"/>
              <w:ind w:left="0"/>
              <w:rPr>
                <w:rFonts w:eastAsiaTheme="minorHAnsi"/>
              </w:rPr>
            </w:pPr>
            <w:r w:rsidRPr="00C90523">
              <w:t xml:space="preserve">Centro de Investigação e Formação em Género e Família </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CIPD</w:t>
            </w:r>
          </w:p>
        </w:tc>
        <w:tc>
          <w:tcPr>
            <w:tcW w:w="8512" w:type="dxa"/>
            <w:vAlign w:val="center"/>
          </w:tcPr>
          <w:p w:rsidR="00103575" w:rsidRPr="00C90523" w:rsidRDefault="00103575" w:rsidP="00C90523">
            <w:pPr>
              <w:spacing w:line="276" w:lineRule="auto"/>
              <w:rPr>
                <w:rFonts w:cs="Times New Roman"/>
              </w:rPr>
            </w:pPr>
            <w:r w:rsidRPr="00C90523">
              <w:rPr>
                <w:rFonts w:cs="Times New Roman"/>
              </w:rPr>
              <w:t>Conferência Internacional sobre População e Desenvolvimento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CNDHC</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Comissão Nacional para os Direitos Humanos e Cidadania</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CNE</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Comissão Nacional de Estatísticas</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CPE</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Centro de Políticas Estratégicas</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CRP</w:t>
            </w:r>
          </w:p>
        </w:tc>
        <w:tc>
          <w:tcPr>
            <w:tcW w:w="8512"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 xml:space="preserve">Comissão Regional de Parceiros </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CTA</w:t>
            </w:r>
          </w:p>
        </w:tc>
        <w:tc>
          <w:tcPr>
            <w:tcW w:w="8512"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Comité Técnico Alargado</w:t>
            </w:r>
          </w:p>
        </w:tc>
      </w:tr>
      <w:tr w:rsidR="00103575" w:rsidRPr="00C90523" w:rsidTr="00615F73">
        <w:trPr>
          <w:jc w:val="center"/>
        </w:trPr>
        <w:tc>
          <w:tcPr>
            <w:tcW w:w="1713" w:type="dxa"/>
            <w:vAlign w:val="center"/>
          </w:tcPr>
          <w:p w:rsidR="00103575" w:rsidRPr="00C90523" w:rsidRDefault="00103575" w:rsidP="00C90523">
            <w:pPr>
              <w:spacing w:after="200" w:line="276" w:lineRule="auto"/>
              <w:rPr>
                <w:rStyle w:val="longtext"/>
                <w:rFonts w:cs="Times New Roman"/>
                <w:shd w:val="clear" w:color="auto" w:fill="FFFFFF"/>
              </w:rPr>
            </w:pPr>
            <w:r w:rsidRPr="00C90523">
              <w:rPr>
                <w:rFonts w:cs="Times New Roman"/>
              </w:rPr>
              <w:t>DECRP</w:t>
            </w:r>
          </w:p>
        </w:tc>
        <w:tc>
          <w:tcPr>
            <w:tcW w:w="8512"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Documento de Estratégia de Crescimento e de Redução da Pobreza</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DGA</w:t>
            </w:r>
          </w:p>
        </w:tc>
        <w:tc>
          <w:tcPr>
            <w:tcW w:w="8512" w:type="dxa"/>
            <w:vAlign w:val="center"/>
          </w:tcPr>
          <w:p w:rsidR="00103575" w:rsidRPr="00C90523" w:rsidRDefault="00103575" w:rsidP="00C90523">
            <w:pPr>
              <w:rPr>
                <w:rFonts w:cs="Times New Roman"/>
              </w:rPr>
            </w:pPr>
            <w:r w:rsidRPr="00C90523">
              <w:rPr>
                <w:rFonts w:cs="Times New Roman"/>
              </w:rPr>
              <w:t>Direção Geral do Ambiente</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DGAP</w:t>
            </w:r>
          </w:p>
        </w:tc>
        <w:tc>
          <w:tcPr>
            <w:tcW w:w="8512" w:type="dxa"/>
            <w:vAlign w:val="center"/>
          </w:tcPr>
          <w:p w:rsidR="00103575" w:rsidRPr="00C90523" w:rsidRDefault="00103575" w:rsidP="00C90523">
            <w:pPr>
              <w:rPr>
                <w:rFonts w:cs="Times New Roman"/>
              </w:rPr>
            </w:pPr>
            <w:r w:rsidRPr="00C90523">
              <w:rPr>
                <w:rFonts w:cs="Times New Roman"/>
              </w:rPr>
              <w:t>Direção Geral da Administração Pública</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DGJ</w:t>
            </w:r>
          </w:p>
        </w:tc>
        <w:tc>
          <w:tcPr>
            <w:tcW w:w="8512" w:type="dxa"/>
            <w:vAlign w:val="center"/>
          </w:tcPr>
          <w:p w:rsidR="00103575" w:rsidRPr="00C90523" w:rsidRDefault="00103575" w:rsidP="00C90523">
            <w:pPr>
              <w:rPr>
                <w:rFonts w:cs="Times New Roman"/>
              </w:rPr>
            </w:pPr>
            <w:r w:rsidRPr="00C90523">
              <w:rPr>
                <w:rFonts w:cs="Times New Roman"/>
              </w:rPr>
              <w:t>Direção Geral da Juventude</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DGPOG</w:t>
            </w:r>
          </w:p>
        </w:tc>
        <w:tc>
          <w:tcPr>
            <w:tcW w:w="8512" w:type="dxa"/>
            <w:vAlign w:val="center"/>
          </w:tcPr>
          <w:p w:rsidR="00103575" w:rsidRPr="00C90523" w:rsidRDefault="00103575" w:rsidP="00C90523">
            <w:pPr>
              <w:spacing w:line="276" w:lineRule="auto"/>
              <w:rPr>
                <w:rFonts w:cs="Times New Roman"/>
              </w:rPr>
            </w:pPr>
            <w:r w:rsidRPr="00C90523">
              <w:rPr>
                <w:rFonts w:cs="Times New Roman"/>
              </w:rPr>
              <w:t>Direção Geral de Planeamento, Orçamentação e Gestão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DGSS</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Direção Geral de Solidariedade Social</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DGTE</w:t>
            </w:r>
          </w:p>
        </w:tc>
        <w:tc>
          <w:tcPr>
            <w:tcW w:w="8512" w:type="dxa"/>
            <w:vAlign w:val="center"/>
          </w:tcPr>
          <w:p w:rsidR="00103575" w:rsidRPr="00C90523" w:rsidRDefault="00103575" w:rsidP="00C90523">
            <w:pPr>
              <w:rPr>
                <w:rFonts w:cs="Times New Roman"/>
              </w:rPr>
            </w:pPr>
            <w:r w:rsidRPr="00C90523">
              <w:rPr>
                <w:rFonts w:cs="Times New Roman"/>
              </w:rPr>
              <w:t>Direção Geral do Trabalho e Emprego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DNT</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Doenças Não Transmissíveis</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DSR</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Direitos Sexuais e Reprodutivos</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EB</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Ensino Básico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ECA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Estatuto da Criança e do Adolescente</w:t>
            </w:r>
          </w:p>
        </w:tc>
      </w:tr>
      <w:tr w:rsidR="00103575" w:rsidRPr="008A7270"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ECREEE</w:t>
            </w:r>
          </w:p>
        </w:tc>
        <w:tc>
          <w:tcPr>
            <w:tcW w:w="8512" w:type="dxa"/>
            <w:vAlign w:val="center"/>
          </w:tcPr>
          <w:p w:rsidR="00103575" w:rsidRPr="00F23562" w:rsidRDefault="00103575" w:rsidP="00C90523">
            <w:pPr>
              <w:autoSpaceDE w:val="0"/>
              <w:autoSpaceDN w:val="0"/>
              <w:adjustRightInd w:val="0"/>
              <w:rPr>
                <w:rFonts w:cs="Times New Roman"/>
                <w:lang w:val="en-US"/>
              </w:rPr>
            </w:pPr>
            <w:r w:rsidRPr="00F207D0">
              <w:rPr>
                <w:rFonts w:cs="Times New Roman"/>
                <w:i/>
                <w:lang w:val="en-US"/>
              </w:rPr>
              <w:t>ECOWAS Centre for Renewable Energy and Energy Efficiency</w:t>
            </w:r>
            <w:r w:rsidRPr="00F207D0">
              <w:rPr>
                <w:rStyle w:val="apple-converted-space"/>
                <w:shd w:val="clear" w:color="auto" w:fill="FFFFFF"/>
                <w:lang w:val="en-US"/>
              </w:rPr>
              <w:t> </w:t>
            </w:r>
            <w:r w:rsidRPr="00F207D0">
              <w:rPr>
                <w:rFonts w:cs="Times New Roman"/>
                <w:lang w:val="en-US"/>
              </w:rPr>
              <w:t>(CEREEC)</w:t>
            </w:r>
          </w:p>
        </w:tc>
      </w:tr>
      <w:tr w:rsidR="00103575" w:rsidRPr="00C90523" w:rsidTr="00615F73">
        <w:trPr>
          <w:jc w:val="center"/>
        </w:trPr>
        <w:tc>
          <w:tcPr>
            <w:tcW w:w="1713" w:type="dxa"/>
            <w:vAlign w:val="center"/>
          </w:tcPr>
          <w:p w:rsidR="00103575" w:rsidRPr="00861276" w:rsidRDefault="00103575" w:rsidP="00C90523">
            <w:pPr>
              <w:rPr>
                <w:rFonts w:cs="Times New Roman"/>
              </w:rPr>
            </w:pPr>
            <w:r w:rsidRPr="00C90523">
              <w:rPr>
                <w:rFonts w:cs="Times New Roman"/>
              </w:rPr>
              <w:t>ECV</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Escudo de Cabo Verde</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EIO</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eastAsiaTheme="minorHAnsi" w:cs="Times New Roman"/>
                <w:lang w:eastAsia="en-US"/>
              </w:rPr>
              <w:t>Espaços de Informação e Orientação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ENSA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 xml:space="preserve">Estratégia Nacional de Segurança Alimentar </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ES</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Ensino Secundário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FA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Forças Armadas</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FAM-F</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Federação das Associações de Micro Finanças</w:t>
            </w:r>
          </w:p>
        </w:tc>
      </w:tr>
      <w:tr w:rsidR="00103575" w:rsidRPr="00C90523" w:rsidTr="00615F73">
        <w:trPr>
          <w:jc w:val="center"/>
        </w:trPr>
        <w:tc>
          <w:tcPr>
            <w:tcW w:w="1713" w:type="dxa"/>
            <w:vAlign w:val="center"/>
          </w:tcPr>
          <w:p w:rsidR="00103575" w:rsidRPr="00C90523" w:rsidRDefault="00103575" w:rsidP="00C90523">
            <w:pPr>
              <w:spacing w:line="276" w:lineRule="auto"/>
            </w:pPr>
            <w:r w:rsidRPr="00C90523">
              <w:rPr>
                <w:rFonts w:cs="Times New Roman"/>
              </w:rPr>
              <w:t>FECAD</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Federação Cabo-verdiana das Associações de Pessoas com Deficiência</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GPM</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Gabinete do Primeiro-Ministro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ICCA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Instituto Cabo-verdiano da Criança e do Adolescente</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ICF</w:t>
            </w:r>
          </w:p>
        </w:tc>
        <w:tc>
          <w:tcPr>
            <w:tcW w:w="8512" w:type="dxa"/>
            <w:vAlign w:val="center"/>
          </w:tcPr>
          <w:p w:rsidR="00103575" w:rsidRPr="00C90523" w:rsidRDefault="00103575" w:rsidP="00C90523">
            <w:pPr>
              <w:spacing w:line="276" w:lineRule="auto"/>
              <w:rPr>
                <w:rFonts w:cs="Times New Roman"/>
              </w:rPr>
            </w:pPr>
            <w:r w:rsidRPr="00C90523">
              <w:rPr>
                <w:rFonts w:cs="Times New Roman"/>
              </w:rPr>
              <w:t>Índice da Condição Feminina</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ICIEG</w:t>
            </w:r>
          </w:p>
        </w:tc>
        <w:tc>
          <w:tcPr>
            <w:tcW w:w="8512" w:type="dxa"/>
            <w:vAlign w:val="center"/>
          </w:tcPr>
          <w:p w:rsidR="00103575" w:rsidRPr="00C90523" w:rsidRDefault="00103575" w:rsidP="00C90523">
            <w:pPr>
              <w:pStyle w:val="PargrafodaLista"/>
              <w:autoSpaceDE w:val="0"/>
              <w:autoSpaceDN w:val="0"/>
              <w:adjustRightInd w:val="0"/>
              <w:spacing w:line="276" w:lineRule="auto"/>
              <w:ind w:left="0"/>
              <w:rPr>
                <w:rFonts w:eastAsiaTheme="minorHAnsi"/>
              </w:rPr>
            </w:pPr>
            <w:r w:rsidRPr="00C90523">
              <w:rPr>
                <w:rFonts w:eastAsiaTheme="minorHAnsi"/>
              </w:rPr>
              <w:t>Instituto Cabo-verdiano para a Igualdade de Equidade de Género</w:t>
            </w:r>
          </w:p>
        </w:tc>
      </w:tr>
      <w:tr w:rsidR="00103575" w:rsidRPr="008A7270" w:rsidTr="00615F73">
        <w:trPr>
          <w:jc w:val="center"/>
        </w:trPr>
        <w:tc>
          <w:tcPr>
            <w:tcW w:w="1713" w:type="dxa"/>
            <w:vAlign w:val="center"/>
          </w:tcPr>
          <w:p w:rsidR="00103575" w:rsidRPr="00C90523" w:rsidRDefault="00103575" w:rsidP="00C90523">
            <w:pPr>
              <w:spacing w:line="276" w:lineRule="auto"/>
              <w:rPr>
                <w:rFonts w:cs="Times New Roman"/>
              </w:rPr>
            </w:pPr>
            <w:r w:rsidRPr="00C90523">
              <w:rPr>
                <w:rFonts w:cs="Times New Roman"/>
              </w:rPr>
              <w:t>IDEA</w:t>
            </w:r>
          </w:p>
        </w:tc>
        <w:tc>
          <w:tcPr>
            <w:tcW w:w="8512" w:type="dxa"/>
            <w:vAlign w:val="center"/>
          </w:tcPr>
          <w:p w:rsidR="00103575" w:rsidRPr="00F23562" w:rsidRDefault="00103575" w:rsidP="00C90523">
            <w:pPr>
              <w:pStyle w:val="PargrafodaLista"/>
              <w:autoSpaceDE w:val="0"/>
              <w:autoSpaceDN w:val="0"/>
              <w:adjustRightInd w:val="0"/>
              <w:ind w:left="0"/>
              <w:rPr>
                <w:rFonts w:eastAsiaTheme="minorHAnsi"/>
                <w:i/>
                <w:lang w:val="en-US"/>
              </w:rPr>
            </w:pPr>
            <w:r w:rsidRPr="00F207D0">
              <w:rPr>
                <w:rFonts w:eastAsiaTheme="minorHAnsi"/>
                <w:bCs/>
                <w:i/>
                <w:lang w:val="en-US"/>
              </w:rPr>
              <w:t>International Institute for Democracy and Electoral Assistance</w:t>
            </w:r>
            <w:r w:rsidRPr="00F207D0">
              <w:rPr>
                <w:rFonts w:eastAsiaTheme="minorHAnsi"/>
                <w:i/>
                <w:lang w:val="en-US"/>
              </w:rPr>
              <w:t> </w:t>
            </w:r>
          </w:p>
        </w:tc>
      </w:tr>
      <w:tr w:rsidR="00103575" w:rsidRPr="00C90523" w:rsidTr="00615F73">
        <w:trPr>
          <w:jc w:val="center"/>
        </w:trPr>
        <w:tc>
          <w:tcPr>
            <w:tcW w:w="1713" w:type="dxa"/>
            <w:vAlign w:val="center"/>
          </w:tcPr>
          <w:p w:rsidR="00103575" w:rsidRPr="00861276" w:rsidRDefault="00103575" w:rsidP="00C90523">
            <w:pPr>
              <w:autoSpaceDE w:val="0"/>
              <w:autoSpaceDN w:val="0"/>
              <w:adjustRightInd w:val="0"/>
              <w:spacing w:line="276" w:lineRule="auto"/>
              <w:rPr>
                <w:rFonts w:cs="Times New Roman"/>
              </w:rPr>
            </w:pPr>
            <w:r w:rsidRPr="00C90523">
              <w:rPr>
                <w:rFonts w:cs="Times New Roman"/>
              </w:rPr>
              <w:t>IDNT</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Inquérito sobre Factores de risco para as doenças não transmissíveis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IDRF</w:t>
            </w:r>
          </w:p>
        </w:tc>
        <w:tc>
          <w:tcPr>
            <w:tcW w:w="8512" w:type="dxa"/>
            <w:vAlign w:val="center"/>
          </w:tcPr>
          <w:p w:rsidR="00103575" w:rsidRPr="00C90523" w:rsidRDefault="00103575" w:rsidP="00C90523">
            <w:pPr>
              <w:spacing w:line="276" w:lineRule="auto"/>
              <w:rPr>
                <w:rFonts w:cs="Times New Roman"/>
              </w:rPr>
            </w:pPr>
            <w:r w:rsidRPr="00C90523">
              <w:rPr>
                <w:rFonts w:cs="Times New Roman"/>
              </w:rPr>
              <w:t xml:space="preserve">Inquérito às Despesas e Receitas Familiares </w:t>
            </w:r>
          </w:p>
        </w:tc>
      </w:tr>
      <w:tr w:rsidR="00103575" w:rsidRPr="00C90523" w:rsidTr="00615F73">
        <w:trPr>
          <w:jc w:val="center"/>
        </w:trPr>
        <w:tc>
          <w:tcPr>
            <w:tcW w:w="1713" w:type="dxa"/>
            <w:vAlign w:val="center"/>
          </w:tcPr>
          <w:p w:rsidR="00103575" w:rsidRPr="00C90523" w:rsidRDefault="00103575" w:rsidP="00C90523">
            <w:pPr>
              <w:spacing w:line="276" w:lineRule="auto"/>
              <w:rPr>
                <w:rFonts w:cs="Times New Roman"/>
              </w:rPr>
            </w:pPr>
            <w:r w:rsidRPr="00C90523">
              <w:rPr>
                <w:rFonts w:cs="Times New Roman"/>
              </w:rPr>
              <w:t>IDSR</w:t>
            </w:r>
          </w:p>
        </w:tc>
        <w:tc>
          <w:tcPr>
            <w:tcW w:w="8512" w:type="dxa"/>
            <w:vAlign w:val="center"/>
          </w:tcPr>
          <w:p w:rsidR="00103575" w:rsidRPr="00C90523" w:rsidRDefault="00103575" w:rsidP="00C90523">
            <w:pPr>
              <w:spacing w:line="276" w:lineRule="auto"/>
              <w:rPr>
                <w:rFonts w:cs="Times New Roman"/>
              </w:rPr>
            </w:pPr>
            <w:r w:rsidRPr="00C90523">
              <w:rPr>
                <w:rFonts w:cs="Times New Roman"/>
              </w:rPr>
              <w:t>Inquérito Demográfico de Saúde Reprodutiva</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IEC</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Informação, Educação e Comunicação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IEFP</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Instituto de Emprego e Formação Profissional</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IMC</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Inquérito Multiobjectivo Contínuo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IMC</w:t>
            </w:r>
          </w:p>
        </w:tc>
        <w:tc>
          <w:tcPr>
            <w:tcW w:w="8512" w:type="dxa"/>
            <w:vAlign w:val="center"/>
          </w:tcPr>
          <w:p w:rsidR="00103575" w:rsidRPr="00C90523" w:rsidRDefault="00103575" w:rsidP="00C90523">
            <w:pPr>
              <w:pStyle w:val="PargrafodaLista"/>
              <w:autoSpaceDE w:val="0"/>
              <w:autoSpaceDN w:val="0"/>
              <w:adjustRightInd w:val="0"/>
              <w:ind w:left="0"/>
              <w:rPr>
                <w:rFonts w:eastAsiaTheme="minorHAnsi"/>
              </w:rPr>
            </w:pPr>
            <w:r w:rsidRPr="00C90523">
              <w:rPr>
                <w:rFonts w:eastAsiaTheme="minorHAnsi"/>
              </w:rPr>
              <w:t>Índice de Massa Corporal</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IMF</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Instituições de Micro Finanças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INE</w:t>
            </w:r>
          </w:p>
        </w:tc>
        <w:tc>
          <w:tcPr>
            <w:tcW w:w="8512" w:type="dxa"/>
            <w:vAlign w:val="center"/>
          </w:tcPr>
          <w:p w:rsidR="00103575" w:rsidRPr="00C90523" w:rsidRDefault="00103575" w:rsidP="00C90523">
            <w:pPr>
              <w:pStyle w:val="PargrafodaLista"/>
              <w:autoSpaceDE w:val="0"/>
              <w:autoSpaceDN w:val="0"/>
              <w:adjustRightInd w:val="0"/>
              <w:spacing w:line="276" w:lineRule="auto"/>
              <w:ind w:left="0"/>
              <w:rPr>
                <w:rFonts w:eastAsiaTheme="minorHAnsi"/>
              </w:rPr>
            </w:pPr>
            <w:r w:rsidRPr="00C90523">
              <w:rPr>
                <w:rFonts w:eastAsiaTheme="minorHAnsi"/>
              </w:rPr>
              <w:t>Instituto Nacional de Estatísticas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INFOPRESS</w:t>
            </w:r>
          </w:p>
        </w:tc>
        <w:tc>
          <w:tcPr>
            <w:tcW w:w="8512" w:type="dxa"/>
            <w:vAlign w:val="center"/>
          </w:tcPr>
          <w:p w:rsidR="00103575" w:rsidRPr="00C90523" w:rsidRDefault="00103575" w:rsidP="00C90523">
            <w:pPr>
              <w:shd w:val="clear" w:color="auto" w:fill="FFFFFF"/>
              <w:spacing w:line="276" w:lineRule="auto"/>
              <w:rPr>
                <w:rFonts w:cs="Times New Roman"/>
              </w:rPr>
            </w:pPr>
            <w:r w:rsidRPr="00C90523">
              <w:rPr>
                <w:rFonts w:cs="Times New Roman"/>
              </w:rPr>
              <w:t>Agência Cabo-verdiana de Notícias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INPS</w:t>
            </w:r>
          </w:p>
        </w:tc>
        <w:tc>
          <w:tcPr>
            <w:tcW w:w="8512" w:type="dxa"/>
            <w:vAlign w:val="center"/>
          </w:tcPr>
          <w:p w:rsidR="00103575" w:rsidRPr="00C90523" w:rsidRDefault="00103575" w:rsidP="00C90523">
            <w:pPr>
              <w:shd w:val="clear" w:color="auto" w:fill="FFFFFF"/>
              <w:spacing w:line="276" w:lineRule="auto"/>
              <w:rPr>
                <w:rFonts w:cs="Times New Roman"/>
              </w:rPr>
            </w:pPr>
            <w:r w:rsidRPr="00C90523">
              <w:rPr>
                <w:rFonts w:cs="Times New Roman"/>
              </w:rPr>
              <w:t>Instituto Nacional de Previdência Social</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INSP</w:t>
            </w:r>
          </w:p>
        </w:tc>
        <w:tc>
          <w:tcPr>
            <w:tcW w:w="8512" w:type="dxa"/>
            <w:vAlign w:val="center"/>
          </w:tcPr>
          <w:p w:rsidR="00103575" w:rsidRPr="00C90523" w:rsidRDefault="00103575" w:rsidP="00C90523">
            <w:pPr>
              <w:pStyle w:val="PargrafodaLista"/>
              <w:autoSpaceDE w:val="0"/>
              <w:autoSpaceDN w:val="0"/>
              <w:adjustRightInd w:val="0"/>
              <w:ind w:left="0"/>
              <w:rPr>
                <w:rFonts w:eastAsiaTheme="minorHAnsi"/>
              </w:rPr>
            </w:pPr>
            <w:r w:rsidRPr="00C90523">
              <w:rPr>
                <w:rFonts w:eastAsiaTheme="minorHAnsi"/>
              </w:rPr>
              <w:t>Instituto Nacional de Saúde Pública</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IST</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Infeções Sexualmente Transmissíveis</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IVG</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Interrupção Voluntária da Gravidez</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LIG</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Laboratório de Investigação em Género</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MAHOT</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do Ambiente, Habitação e Ordenamento do Território</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MAI</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da Administração Interna</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MC</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da Cultura</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MCA</w:t>
            </w:r>
          </w:p>
        </w:tc>
        <w:tc>
          <w:tcPr>
            <w:tcW w:w="8512" w:type="dxa"/>
            <w:vAlign w:val="center"/>
          </w:tcPr>
          <w:p w:rsidR="00103575" w:rsidRPr="00C90523" w:rsidRDefault="00103575" w:rsidP="00C90523">
            <w:pPr>
              <w:pStyle w:val="Default"/>
              <w:spacing w:line="276" w:lineRule="auto"/>
              <w:rPr>
                <w:rFonts w:asciiTheme="minorHAnsi" w:hAnsiTheme="minorHAnsi" w:cs="Times New Roman"/>
                <w:i/>
                <w:color w:val="auto"/>
                <w:sz w:val="22"/>
                <w:szCs w:val="22"/>
              </w:rPr>
            </w:pPr>
            <w:r w:rsidRPr="00C90523">
              <w:rPr>
                <w:rFonts w:asciiTheme="minorHAnsi" w:hAnsiTheme="minorHAnsi" w:cs="Times New Roman"/>
                <w:i/>
                <w:color w:val="auto"/>
                <w:sz w:val="22"/>
                <w:szCs w:val="22"/>
              </w:rPr>
              <w:t>Millennium Challenge Account</w:t>
            </w:r>
          </w:p>
        </w:tc>
      </w:tr>
      <w:tr w:rsidR="00103575" w:rsidRPr="00C90523" w:rsidTr="00615F73">
        <w:trPr>
          <w:jc w:val="center"/>
        </w:trPr>
        <w:tc>
          <w:tcPr>
            <w:tcW w:w="1713" w:type="dxa"/>
            <w:vAlign w:val="center"/>
          </w:tcPr>
          <w:p w:rsidR="00103575" w:rsidRPr="00C90523" w:rsidRDefault="00103575" w:rsidP="00C90523">
            <w:pPr>
              <w:spacing w:after="200" w:line="276" w:lineRule="auto"/>
              <w:rPr>
                <w:rStyle w:val="longtext"/>
                <w:rFonts w:cs="Times New Roman"/>
                <w:shd w:val="clear" w:color="auto" w:fill="FFFFFF"/>
              </w:rPr>
            </w:pPr>
            <w:r w:rsidRPr="00C90523">
              <w:rPr>
                <w:rStyle w:val="longtext"/>
                <w:rFonts w:cs="Times New Roman"/>
                <w:shd w:val="clear" w:color="auto" w:fill="FFFFFF"/>
              </w:rPr>
              <w:t>MDR</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Ministério do Desenvolvimento Rural</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MED</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Ministério da Educação</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MESCI</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do Ensino Superior, Ciência e Inovação</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MFP</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das Finanças e do Plan</w:t>
            </w:r>
            <w:r w:rsidR="00F26E22">
              <w:rPr>
                <w:rFonts w:cs="Times New Roman"/>
              </w:rPr>
              <w:t>eamento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MIREX</w:t>
            </w:r>
          </w:p>
        </w:tc>
        <w:tc>
          <w:tcPr>
            <w:tcW w:w="8512" w:type="dxa"/>
            <w:vAlign w:val="center"/>
          </w:tcPr>
          <w:p w:rsidR="00103575" w:rsidRPr="00C90523" w:rsidRDefault="00103575" w:rsidP="00C90523">
            <w:pPr>
              <w:rPr>
                <w:rFonts w:cs="Times New Roman"/>
              </w:rPr>
            </w:pPr>
            <w:r w:rsidRPr="00C90523">
              <w:rPr>
                <w:rFonts w:cs="Times New Roman"/>
              </w:rPr>
              <w:t xml:space="preserve">Ministério das Relações Exteriores </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MJEDRH</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 xml:space="preserve">Ministério da Juventude, Emprego e Desenvolvimento dos Recursos Humanos  </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pPr>
            <w:r w:rsidRPr="00C90523">
              <w:rPr>
                <w:rFonts w:cs="Times New Roman"/>
              </w:rPr>
              <w:t>MORABI</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Associação de Apoio à Auto-Promoção da Mulher no Desenvolvimento</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MoU</w:t>
            </w:r>
          </w:p>
        </w:tc>
        <w:tc>
          <w:tcPr>
            <w:tcW w:w="8512" w:type="dxa"/>
            <w:vAlign w:val="center"/>
          </w:tcPr>
          <w:p w:rsidR="00103575" w:rsidRPr="00C90523" w:rsidRDefault="00103575" w:rsidP="00C90523">
            <w:pPr>
              <w:autoSpaceDE w:val="0"/>
              <w:autoSpaceDN w:val="0"/>
              <w:adjustRightInd w:val="0"/>
              <w:rPr>
                <w:rFonts w:cs="Times New Roman"/>
                <w:i/>
              </w:rPr>
            </w:pPr>
            <w:r w:rsidRPr="00C90523">
              <w:rPr>
                <w:rFonts w:cs="Times New Roman"/>
                <w:i/>
              </w:rPr>
              <w:t>Memorandum of Understanding</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MP</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Público</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rPr>
                <w:rFonts w:cs="Times New Roman"/>
              </w:rPr>
            </w:pPr>
            <w:r w:rsidRPr="00C90523">
              <w:rPr>
                <w:rFonts w:cs="Times New Roman"/>
              </w:rPr>
              <w:t>MS</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da Saúde</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MTIDE</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Ministério do Turismo, Investimentos e Desenvolvimento Empresarial</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 xml:space="preserve">NEPAD </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Nova Parceria para o Desenvolvimento de África</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NOSi</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Núcleo Operacional para a Sociedade de Informação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OBC</w:t>
            </w:r>
          </w:p>
        </w:tc>
        <w:tc>
          <w:tcPr>
            <w:tcW w:w="8512" w:type="dxa"/>
            <w:vAlign w:val="center"/>
          </w:tcPr>
          <w:p w:rsidR="00103575" w:rsidRPr="00C90523" w:rsidRDefault="00103575" w:rsidP="00C90523">
            <w:pPr>
              <w:rPr>
                <w:rFonts w:cs="Times New Roman"/>
              </w:rPr>
            </w:pPr>
            <w:r w:rsidRPr="00C90523">
              <w:rPr>
                <w:rFonts w:cs="Times New Roman"/>
              </w:rPr>
              <w:t xml:space="preserve">Organização de Base Comunitária </w:t>
            </w:r>
          </w:p>
        </w:tc>
      </w:tr>
      <w:tr w:rsidR="00103575" w:rsidRPr="00C90523" w:rsidTr="00615F73">
        <w:trPr>
          <w:jc w:val="center"/>
        </w:trPr>
        <w:tc>
          <w:tcPr>
            <w:tcW w:w="1713" w:type="dxa"/>
            <w:vAlign w:val="center"/>
          </w:tcPr>
          <w:p w:rsidR="00103575" w:rsidRPr="00C90523" w:rsidRDefault="00103575" w:rsidP="00C90523">
            <w:pPr>
              <w:spacing w:line="276" w:lineRule="auto"/>
              <w:rPr>
                <w:rFonts w:cs="Times New Roman"/>
              </w:rPr>
            </w:pPr>
            <w:r w:rsidRPr="00C90523">
              <w:rPr>
                <w:rFonts w:cs="Times New Roman"/>
              </w:rPr>
              <w:t>ODM</w:t>
            </w:r>
          </w:p>
        </w:tc>
        <w:tc>
          <w:tcPr>
            <w:tcW w:w="8512" w:type="dxa"/>
            <w:vAlign w:val="center"/>
          </w:tcPr>
          <w:p w:rsidR="00103575" w:rsidRPr="00C90523" w:rsidRDefault="00103575" w:rsidP="00C90523">
            <w:pPr>
              <w:spacing w:line="276" w:lineRule="auto"/>
              <w:rPr>
                <w:rFonts w:cs="Times New Roman"/>
              </w:rPr>
            </w:pPr>
            <w:r w:rsidRPr="00C90523">
              <w:rPr>
                <w:rFonts w:cs="Times New Roman"/>
              </w:rPr>
              <w:t>Objectivos de Desenvolvimento do Milénio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OIT</w:t>
            </w:r>
          </w:p>
        </w:tc>
        <w:tc>
          <w:tcPr>
            <w:tcW w:w="8512" w:type="dxa"/>
            <w:vAlign w:val="center"/>
          </w:tcPr>
          <w:p w:rsidR="00103575" w:rsidRPr="00C90523" w:rsidRDefault="00103575" w:rsidP="00C90523">
            <w:pPr>
              <w:rPr>
                <w:rFonts w:cs="Times New Roman"/>
              </w:rPr>
            </w:pPr>
            <w:r w:rsidRPr="00C90523">
              <w:rPr>
                <w:rFonts w:cs="Times New Roman"/>
              </w:rPr>
              <w:t>Organização Internacional do Trabalho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OMCV</w:t>
            </w:r>
          </w:p>
        </w:tc>
        <w:tc>
          <w:tcPr>
            <w:tcW w:w="8512" w:type="dxa"/>
            <w:vAlign w:val="center"/>
          </w:tcPr>
          <w:p w:rsidR="00103575" w:rsidRPr="00C90523" w:rsidRDefault="00103575" w:rsidP="00C90523">
            <w:pPr>
              <w:spacing w:line="276" w:lineRule="auto"/>
              <w:rPr>
                <w:rFonts w:cs="Times New Roman"/>
              </w:rPr>
            </w:pPr>
            <w:r w:rsidRPr="00C90523">
              <w:rPr>
                <w:rFonts w:cs="Times New Roman"/>
              </w:rPr>
              <w:t>Organização das Mulheres de Cabo Verde</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ONG</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Organização Não Governamental</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ONU Mulheres</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Entidade das Nações Unidas para a Igualdade de Gênero e o Empoderamento das Mulheres</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OSC</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Organização da Sociedade Civil</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PAPIG</w:t>
            </w:r>
          </w:p>
        </w:tc>
        <w:tc>
          <w:tcPr>
            <w:tcW w:w="8512" w:type="dxa"/>
            <w:vAlign w:val="center"/>
          </w:tcPr>
          <w:p w:rsidR="00103575" w:rsidRPr="00C90523" w:rsidRDefault="00103575" w:rsidP="00C90523">
            <w:pPr>
              <w:pStyle w:val="PargrafodaLista"/>
              <w:autoSpaceDE w:val="0"/>
              <w:autoSpaceDN w:val="0"/>
              <w:adjustRightInd w:val="0"/>
              <w:spacing w:line="276" w:lineRule="auto"/>
              <w:ind w:left="0"/>
              <w:rPr>
                <w:rFonts w:eastAsiaTheme="minorHAnsi"/>
              </w:rPr>
            </w:pPr>
            <w:r w:rsidRPr="00C90523">
              <w:rPr>
                <w:rFonts w:eastAsiaTheme="minorHAnsi"/>
              </w:rPr>
              <w:t>Programa de Ação para a Promoção da Igualdade de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PEDA</w:t>
            </w:r>
          </w:p>
        </w:tc>
        <w:tc>
          <w:tcPr>
            <w:tcW w:w="8512" w:type="dxa"/>
            <w:vAlign w:val="center"/>
          </w:tcPr>
          <w:p w:rsidR="00103575" w:rsidRPr="00C90523" w:rsidRDefault="00103575" w:rsidP="00C90523">
            <w:pPr>
              <w:spacing w:line="276" w:lineRule="auto"/>
              <w:rPr>
                <w:rFonts w:cs="Times New Roman"/>
              </w:rPr>
            </w:pPr>
            <w:r w:rsidRPr="00C90523">
              <w:rPr>
                <w:rFonts w:cs="Times New Roman"/>
              </w:rPr>
              <w:t>Plano Estratégico de Desenvolvimento Agrícola</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shd w:val="clear" w:color="auto" w:fill="FFFFFF"/>
              </w:rPr>
              <w:t>PIEFE</w:t>
            </w:r>
          </w:p>
        </w:tc>
        <w:tc>
          <w:tcPr>
            <w:tcW w:w="8512" w:type="dxa"/>
            <w:vAlign w:val="center"/>
          </w:tcPr>
          <w:p w:rsidR="00103575" w:rsidRPr="00C90523" w:rsidRDefault="00103575" w:rsidP="00C90523">
            <w:pPr>
              <w:rPr>
                <w:rFonts w:cs="Times New Roman"/>
              </w:rPr>
            </w:pPr>
            <w:r w:rsidRPr="00C90523">
              <w:rPr>
                <w:rFonts w:cs="Times New Roman"/>
              </w:rPr>
              <w:t>Plano Integrado da Educação, Formação e Emprego</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PJ</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Polícia Judiciária</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PLS</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Programa de Luta contra a SIDA</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PMIEG</w:t>
            </w:r>
          </w:p>
        </w:tc>
        <w:tc>
          <w:tcPr>
            <w:tcW w:w="8512" w:type="dxa"/>
            <w:vAlign w:val="center"/>
          </w:tcPr>
          <w:p w:rsidR="00103575" w:rsidRPr="00C90523" w:rsidRDefault="00103575" w:rsidP="00C90523">
            <w:pPr>
              <w:spacing w:line="276" w:lineRule="auto"/>
              <w:rPr>
                <w:rFonts w:cs="Times New Roman"/>
              </w:rPr>
            </w:pPr>
            <w:r w:rsidRPr="00C90523">
              <w:rPr>
                <w:rFonts w:cs="Times New Roman"/>
              </w:rPr>
              <w:t>Plano Municipal de Igualdade e Equidade de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PN</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Polícia Nacional</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PNDS</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Plano Nacional de Desenvolvimento Sanitário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PNED</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Plano Nacional de Energias Domésticas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PNIA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Programa Nacional de Investimento Agrário</w:t>
            </w:r>
          </w:p>
        </w:tc>
      </w:tr>
      <w:tr w:rsidR="00103575" w:rsidRPr="00C90523" w:rsidTr="00615F73">
        <w:trPr>
          <w:jc w:val="center"/>
        </w:trPr>
        <w:tc>
          <w:tcPr>
            <w:tcW w:w="1713" w:type="dxa"/>
            <w:vAlign w:val="center"/>
          </w:tcPr>
          <w:p w:rsidR="00103575" w:rsidRPr="00C90523" w:rsidRDefault="00103575" w:rsidP="00C90523">
            <w:pPr>
              <w:spacing w:line="276" w:lineRule="auto"/>
              <w:rPr>
                <w:rFonts w:cs="Times New Roman"/>
              </w:rPr>
            </w:pPr>
            <w:r w:rsidRPr="00C90523">
              <w:rPr>
                <w:rStyle w:val="longtext"/>
                <w:rFonts w:cs="Times New Roman"/>
                <w:shd w:val="clear" w:color="auto" w:fill="FFFFFF"/>
              </w:rPr>
              <w:t>PNIEG</w:t>
            </w:r>
          </w:p>
        </w:tc>
        <w:tc>
          <w:tcPr>
            <w:tcW w:w="8512" w:type="dxa"/>
            <w:vAlign w:val="center"/>
          </w:tcPr>
          <w:p w:rsidR="00103575" w:rsidRPr="00C90523" w:rsidRDefault="00103575" w:rsidP="00C90523">
            <w:pPr>
              <w:spacing w:line="276" w:lineRule="auto"/>
              <w:rPr>
                <w:rFonts w:cs="Times New Roman"/>
              </w:rPr>
            </w:pPr>
            <w:r w:rsidRPr="00C90523">
              <w:rPr>
                <w:rFonts w:cs="Times New Roman"/>
              </w:rPr>
              <w:t>Plano Nacional de Igualdade e Equidade de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PNIG</w:t>
            </w:r>
          </w:p>
        </w:tc>
        <w:tc>
          <w:tcPr>
            <w:tcW w:w="8512" w:type="dxa"/>
            <w:vAlign w:val="center"/>
          </w:tcPr>
          <w:p w:rsidR="00103575" w:rsidRPr="00C90523" w:rsidRDefault="00103575" w:rsidP="00C90523">
            <w:pPr>
              <w:pStyle w:val="PargrafodaLista"/>
              <w:autoSpaceDE w:val="0"/>
              <w:autoSpaceDN w:val="0"/>
              <w:adjustRightInd w:val="0"/>
              <w:spacing w:line="276" w:lineRule="auto"/>
              <w:ind w:left="0"/>
              <w:rPr>
                <w:rFonts w:eastAsiaTheme="minorHAnsi"/>
              </w:rPr>
            </w:pPr>
            <w:r w:rsidRPr="00C90523">
              <w:t>Plano Nacional de Igualdade de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PNLP</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Programa Nacional de Luta contra a Pobreza</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PNUD</w:t>
            </w:r>
          </w:p>
        </w:tc>
        <w:tc>
          <w:tcPr>
            <w:tcW w:w="8512" w:type="dxa"/>
            <w:vAlign w:val="center"/>
          </w:tcPr>
          <w:p w:rsidR="00103575" w:rsidRPr="00C90523" w:rsidRDefault="00103575" w:rsidP="00C90523">
            <w:pPr>
              <w:rPr>
                <w:rFonts w:cs="Times New Roman"/>
              </w:rPr>
            </w:pPr>
            <w:r w:rsidRPr="00C90523">
              <w:rPr>
                <w:rFonts w:cs="Times New Roman"/>
              </w:rPr>
              <w:t>Programa das Nações Unidas para o Desenvolvimento</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PNV</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Programa Nacional de Voluntários</w:t>
            </w:r>
          </w:p>
        </w:tc>
      </w:tr>
      <w:tr w:rsidR="00103575" w:rsidRPr="00C90523" w:rsidTr="00615F73">
        <w:trPr>
          <w:jc w:val="center"/>
        </w:trPr>
        <w:tc>
          <w:tcPr>
            <w:tcW w:w="1713" w:type="dxa"/>
            <w:vAlign w:val="center"/>
          </w:tcPr>
          <w:p w:rsidR="00103575" w:rsidRPr="00C90523" w:rsidRDefault="00103575" w:rsidP="00C90523">
            <w:pPr>
              <w:spacing w:line="276" w:lineRule="auto"/>
              <w:rPr>
                <w:rFonts w:cs="Times New Roman"/>
              </w:rPr>
            </w:pPr>
            <w:r w:rsidRPr="00C90523">
              <w:rPr>
                <w:rFonts w:cs="Times New Roman"/>
              </w:rPr>
              <w:t>PNVBG</w:t>
            </w:r>
          </w:p>
        </w:tc>
        <w:tc>
          <w:tcPr>
            <w:tcW w:w="8512" w:type="dxa"/>
            <w:vAlign w:val="center"/>
          </w:tcPr>
          <w:p w:rsidR="00103575" w:rsidRPr="00C90523" w:rsidRDefault="00103575" w:rsidP="00C90523">
            <w:pPr>
              <w:spacing w:line="276" w:lineRule="auto"/>
              <w:rPr>
                <w:rFonts w:cs="Times New Roman"/>
              </w:rPr>
            </w:pPr>
            <w:r w:rsidRPr="00C90523">
              <w:rPr>
                <w:rFonts w:cs="Times New Roman"/>
              </w:rPr>
              <w:t>Plano Nacional de Combate à Violência Baseada no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POSER</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Programa de Promoção das Oportunidades Socio Económicas Rurais</w:t>
            </w:r>
            <w:r w:rsidRPr="00C90523">
              <w:rPr>
                <w:rStyle w:val="apple-converted-space"/>
                <w:rFonts w:cs="Arial"/>
                <w:shd w:val="clear" w:color="auto" w:fill="FFFFFF"/>
              </w:rPr>
              <w:t> </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POSG</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Programação e Orçamentação Sensível ao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POSG</w:t>
            </w:r>
          </w:p>
        </w:tc>
        <w:tc>
          <w:tcPr>
            <w:tcW w:w="8512" w:type="dxa"/>
            <w:vAlign w:val="center"/>
          </w:tcPr>
          <w:p w:rsidR="00103575" w:rsidRPr="00C90523" w:rsidRDefault="00103575" w:rsidP="00C90523">
            <w:pPr>
              <w:spacing w:line="276" w:lineRule="auto"/>
              <w:rPr>
                <w:rFonts w:cs="Times New Roman"/>
              </w:rPr>
            </w:pPr>
            <w:r w:rsidRPr="00C90523">
              <w:rPr>
                <w:rFonts w:cs="Times New Roman"/>
              </w:rPr>
              <w:t xml:space="preserve">Planificação e Orçamentação Sensível ao Género </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PSR</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Programa de Saúde Reprodutiva</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PVVIH</w:t>
            </w:r>
          </w:p>
        </w:tc>
        <w:tc>
          <w:tcPr>
            <w:tcW w:w="8512" w:type="dxa"/>
            <w:vAlign w:val="center"/>
          </w:tcPr>
          <w:p w:rsidR="00103575" w:rsidRPr="00C90523" w:rsidRDefault="00103575" w:rsidP="00C90523">
            <w:pPr>
              <w:rPr>
                <w:rFonts w:cs="Times New Roman"/>
              </w:rPr>
            </w:pPr>
            <w:r w:rsidRPr="00C90523">
              <w:rPr>
                <w:rFonts w:cs="Times New Roman"/>
              </w:rPr>
              <w:t>Pessoas Vivendo com VIH</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Fonts w:cs="Times New Roman"/>
              </w:rPr>
              <w:t>QUIBB</w:t>
            </w:r>
          </w:p>
        </w:tc>
        <w:tc>
          <w:tcPr>
            <w:tcW w:w="8512" w:type="dxa"/>
            <w:vAlign w:val="center"/>
          </w:tcPr>
          <w:p w:rsidR="00103575" w:rsidRPr="00C90523" w:rsidRDefault="00103575" w:rsidP="00C90523">
            <w:pPr>
              <w:rPr>
                <w:rFonts w:cs="Times New Roman"/>
              </w:rPr>
            </w:pPr>
            <w:r w:rsidRPr="00C90523">
              <w:rPr>
                <w:rStyle w:val="nfase"/>
                <w:rFonts w:cs="Times New Roman"/>
                <w:bCs/>
                <w:shd w:val="clear" w:color="auto" w:fill="FFFFFF"/>
              </w:rPr>
              <w:t>Questionário</w:t>
            </w:r>
            <w:r w:rsidRPr="00C90523">
              <w:rPr>
                <w:rStyle w:val="apple-converted-space"/>
                <w:rFonts w:cs="Times New Roman"/>
                <w:shd w:val="clear" w:color="auto" w:fill="FFFFFF"/>
              </w:rPr>
              <w:t> </w:t>
            </w:r>
            <w:r w:rsidRPr="00C90523">
              <w:rPr>
                <w:rFonts w:cs="Times New Roman"/>
                <w:shd w:val="clear" w:color="auto" w:fill="FFFFFF"/>
              </w:rPr>
              <w:t>Unificado de Indicadores Básicos de Bem-Estar</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REDMEC</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 xml:space="preserve">Rede de Mulheres Economistas </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RGPH</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Recenseamento Geral da População e Habitação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RMP-CV</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Rede de Mulheres Parlamentares de Cabo Verde</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SIDA</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Síndrome de Imunodeficiência Adquirida</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SNIG</w:t>
            </w:r>
          </w:p>
        </w:tc>
        <w:tc>
          <w:tcPr>
            <w:tcW w:w="8512" w:type="dxa"/>
            <w:vAlign w:val="center"/>
          </w:tcPr>
          <w:p w:rsidR="00103575" w:rsidRPr="00C90523" w:rsidRDefault="00103575" w:rsidP="00C90523">
            <w:pPr>
              <w:spacing w:line="276" w:lineRule="auto"/>
              <w:rPr>
                <w:rFonts w:cs="Times New Roman"/>
              </w:rPr>
            </w:pPr>
            <w:r w:rsidRPr="00C90523">
              <w:rPr>
                <w:rFonts w:cs="Times New Roman"/>
              </w:rPr>
              <w:t>Sistema Nacional de Indicadores de Género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SSR</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 xml:space="preserve">Saúde Sexual e Reprodutiva </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TIC</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Tecnologias de Informação e Comunicação</w:t>
            </w:r>
          </w:p>
        </w:tc>
      </w:tr>
      <w:tr w:rsidR="00103575" w:rsidRPr="00C90523" w:rsidTr="00615F73">
        <w:trPr>
          <w:jc w:val="center"/>
        </w:trPr>
        <w:tc>
          <w:tcPr>
            <w:tcW w:w="1713" w:type="dxa"/>
            <w:vAlign w:val="center"/>
          </w:tcPr>
          <w:p w:rsidR="00103575" w:rsidRPr="00C90523" w:rsidRDefault="00103575" w:rsidP="00C90523">
            <w:pPr>
              <w:rPr>
                <w:rFonts w:cs="Times New Roman"/>
              </w:rPr>
            </w:pPr>
            <w:r w:rsidRPr="00C90523">
              <w:rPr>
                <w:rFonts w:cs="Times New Roman"/>
              </w:rPr>
              <w:t>TNR</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Trabalho Não Remunerado</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UCRE</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Unidade de Coordenação da Reforma do Estado</w:t>
            </w:r>
          </w:p>
        </w:tc>
      </w:tr>
      <w:tr w:rsidR="00103575" w:rsidRPr="00C90523" w:rsidTr="00615F73">
        <w:trPr>
          <w:jc w:val="center"/>
        </w:trPr>
        <w:tc>
          <w:tcPr>
            <w:tcW w:w="1713" w:type="dxa"/>
            <w:vAlign w:val="center"/>
          </w:tcPr>
          <w:p w:rsidR="00103575" w:rsidRPr="00C90523" w:rsidRDefault="00103575" w:rsidP="00C90523">
            <w:pPr>
              <w:rPr>
                <w:rStyle w:val="longtext"/>
                <w:rFonts w:cs="Times New Roman"/>
                <w:shd w:val="clear" w:color="auto" w:fill="FFFFFF"/>
              </w:rPr>
            </w:pPr>
            <w:r w:rsidRPr="00C90523">
              <w:rPr>
                <w:rStyle w:val="longtext"/>
                <w:rFonts w:cs="Times New Roman"/>
                <w:shd w:val="clear" w:color="auto" w:fill="FFFFFF"/>
              </w:rPr>
              <w:t>UD</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Usuário de Drogas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Style w:val="longtext"/>
                <w:rFonts w:cs="Times New Roman"/>
                <w:shd w:val="clear" w:color="auto" w:fill="FFFFFF"/>
              </w:rPr>
              <w:t>UniCV</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 xml:space="preserve">Universidade de Cabo Verde </w:t>
            </w:r>
          </w:p>
        </w:tc>
      </w:tr>
      <w:tr w:rsidR="00103575" w:rsidRPr="00C90523" w:rsidTr="00615F73">
        <w:trPr>
          <w:jc w:val="center"/>
        </w:trPr>
        <w:tc>
          <w:tcPr>
            <w:tcW w:w="1713" w:type="dxa"/>
            <w:vAlign w:val="center"/>
          </w:tcPr>
          <w:p w:rsidR="00103575" w:rsidRPr="00C90523" w:rsidRDefault="00103575" w:rsidP="00C90523">
            <w:pPr>
              <w:pStyle w:val="Default"/>
              <w:spacing w:line="276" w:lineRule="auto"/>
              <w:rPr>
                <w:rFonts w:asciiTheme="minorHAnsi" w:hAnsiTheme="minorHAnsi" w:cs="Times New Roman"/>
                <w:color w:val="auto"/>
                <w:sz w:val="22"/>
                <w:szCs w:val="22"/>
              </w:rPr>
            </w:pPr>
            <w:r w:rsidRPr="00C90523">
              <w:rPr>
                <w:rFonts w:asciiTheme="minorHAnsi" w:hAnsiTheme="minorHAnsi" w:cs="Times New Roman"/>
                <w:color w:val="auto"/>
                <w:sz w:val="22"/>
                <w:szCs w:val="22"/>
              </w:rPr>
              <w:t>UNPFA</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Fundo de População das Nações Unidas</w:t>
            </w:r>
          </w:p>
        </w:tc>
      </w:tr>
      <w:tr w:rsidR="00103575" w:rsidRPr="00C90523" w:rsidTr="00615F73">
        <w:trPr>
          <w:jc w:val="center"/>
        </w:trPr>
        <w:tc>
          <w:tcPr>
            <w:tcW w:w="1713" w:type="dxa"/>
            <w:vAlign w:val="center"/>
          </w:tcPr>
          <w:p w:rsidR="00103575" w:rsidRPr="00C90523" w:rsidRDefault="00103575" w:rsidP="00C90523">
            <w:r w:rsidRPr="00C90523">
              <w:rPr>
                <w:rFonts w:cs="Times New Roman"/>
              </w:rPr>
              <w:t>USNQ</w:t>
            </w:r>
          </w:p>
        </w:tc>
        <w:tc>
          <w:tcPr>
            <w:tcW w:w="8512" w:type="dxa"/>
            <w:vAlign w:val="center"/>
          </w:tcPr>
          <w:p w:rsidR="00103575" w:rsidRPr="00C90523" w:rsidRDefault="00103575" w:rsidP="00C90523">
            <w:pPr>
              <w:autoSpaceDE w:val="0"/>
              <w:autoSpaceDN w:val="0"/>
              <w:adjustRightInd w:val="0"/>
              <w:rPr>
                <w:rFonts w:cs="Times New Roman"/>
              </w:rPr>
            </w:pPr>
            <w:r w:rsidRPr="00C90523">
              <w:rPr>
                <w:rFonts w:cs="Times New Roman"/>
              </w:rPr>
              <w:t>Unidade do Sistema Nacional de Qualificações</w:t>
            </w:r>
          </w:p>
        </w:tc>
      </w:tr>
      <w:tr w:rsidR="00103575" w:rsidRPr="00C90523" w:rsidTr="00615F73">
        <w:trPr>
          <w:jc w:val="center"/>
        </w:trPr>
        <w:tc>
          <w:tcPr>
            <w:tcW w:w="1713" w:type="dxa"/>
            <w:vAlign w:val="center"/>
          </w:tcPr>
          <w:p w:rsidR="00103575" w:rsidRPr="00C90523" w:rsidRDefault="00103575" w:rsidP="00C90523">
            <w:pPr>
              <w:spacing w:line="276" w:lineRule="auto"/>
              <w:rPr>
                <w:rStyle w:val="longtext"/>
                <w:rFonts w:cs="Times New Roman"/>
                <w:shd w:val="clear" w:color="auto" w:fill="FFFFFF"/>
              </w:rPr>
            </w:pPr>
            <w:r w:rsidRPr="00C90523">
              <w:rPr>
                <w:rFonts w:cs="Times New Roman"/>
              </w:rPr>
              <w:t>VBG</w:t>
            </w:r>
          </w:p>
        </w:tc>
        <w:tc>
          <w:tcPr>
            <w:tcW w:w="8512" w:type="dxa"/>
            <w:vAlign w:val="center"/>
          </w:tcPr>
          <w:p w:rsidR="00103575" w:rsidRPr="00C90523" w:rsidRDefault="00103575" w:rsidP="00C90523">
            <w:pPr>
              <w:pStyle w:val="PargrafodaLista"/>
              <w:autoSpaceDE w:val="0"/>
              <w:autoSpaceDN w:val="0"/>
              <w:adjustRightInd w:val="0"/>
              <w:spacing w:line="276" w:lineRule="auto"/>
              <w:ind w:left="0"/>
              <w:rPr>
                <w:rFonts w:eastAsiaTheme="minorHAnsi"/>
              </w:rPr>
            </w:pPr>
            <w:r w:rsidRPr="00C90523">
              <w:rPr>
                <w:rFonts w:eastAsiaTheme="minorHAnsi"/>
              </w:rPr>
              <w:t xml:space="preserve">Violência Baseada no Género </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VERDEFAM</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Associação Cabo-verdiana para a Proteção da Família</w:t>
            </w:r>
          </w:p>
        </w:tc>
      </w:tr>
      <w:tr w:rsidR="00103575" w:rsidRPr="00C90523" w:rsidTr="00615F73">
        <w:trPr>
          <w:jc w:val="center"/>
        </w:trPr>
        <w:tc>
          <w:tcPr>
            <w:tcW w:w="1713"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VIH</w:t>
            </w:r>
          </w:p>
        </w:tc>
        <w:tc>
          <w:tcPr>
            <w:tcW w:w="8512" w:type="dxa"/>
            <w:vAlign w:val="center"/>
          </w:tcPr>
          <w:p w:rsidR="00103575" w:rsidRPr="00C90523" w:rsidRDefault="00103575" w:rsidP="00C90523">
            <w:pPr>
              <w:autoSpaceDE w:val="0"/>
              <w:autoSpaceDN w:val="0"/>
              <w:adjustRightInd w:val="0"/>
              <w:spacing w:line="276" w:lineRule="auto"/>
              <w:rPr>
                <w:rFonts w:cs="Times New Roman"/>
              </w:rPr>
            </w:pPr>
            <w:r w:rsidRPr="00C90523">
              <w:rPr>
                <w:rFonts w:cs="Times New Roman"/>
              </w:rPr>
              <w:t>Vírus de Imunodeficiência Humana</w:t>
            </w:r>
          </w:p>
        </w:tc>
      </w:tr>
    </w:tbl>
    <w:p w:rsidR="00324CD8" w:rsidRPr="00C90523" w:rsidRDefault="00324CD8" w:rsidP="002F0FFA">
      <w:pPr>
        <w:rPr>
          <w:rFonts w:asciiTheme="majorHAnsi" w:eastAsiaTheme="majorEastAsia" w:hAnsiTheme="majorHAnsi" w:cstheme="majorBidi"/>
          <w:color w:val="365F91" w:themeColor="accent1" w:themeShade="BF"/>
          <w:sz w:val="28"/>
          <w:szCs w:val="28"/>
        </w:rPr>
      </w:pPr>
    </w:p>
    <w:p w:rsidR="00324CD8" w:rsidRPr="00C90523" w:rsidRDefault="006568A3">
      <w:pPr>
        <w:rPr>
          <w:rFonts w:asciiTheme="majorHAnsi" w:eastAsiaTheme="majorEastAsia" w:hAnsiTheme="majorHAnsi" w:cstheme="majorBidi"/>
          <w:color w:val="365F91" w:themeColor="accent1" w:themeShade="BF"/>
          <w:sz w:val="28"/>
          <w:szCs w:val="28"/>
        </w:rPr>
      </w:pPr>
      <w:r w:rsidRPr="006568A3">
        <w:rPr>
          <w:rFonts w:asciiTheme="majorHAnsi" w:eastAsiaTheme="majorEastAsia" w:hAnsiTheme="majorHAnsi" w:cstheme="majorBidi"/>
          <w:color w:val="365F91" w:themeColor="accent1" w:themeShade="BF"/>
          <w:sz w:val="28"/>
          <w:szCs w:val="28"/>
        </w:rPr>
        <w:br w:type="page"/>
      </w:r>
    </w:p>
    <w:p w:rsidR="002F0FFA" w:rsidRPr="00C90523" w:rsidRDefault="006568A3" w:rsidP="007100A9">
      <w:pPr>
        <w:pStyle w:val="Cabealho1"/>
        <w:spacing w:before="0"/>
      </w:pPr>
      <w:bookmarkStart w:id="96" w:name="_Toc406667312"/>
      <w:r w:rsidRPr="006568A3">
        <w:t>ANEXO 1: TABELA DE INDICADORES</w:t>
      </w:r>
      <w:r w:rsidR="002F0FFA" w:rsidRPr="00C90523">
        <w:rPr>
          <w:rStyle w:val="Refdenotaderodap"/>
          <w:b w:val="0"/>
          <w:sz w:val="24"/>
          <w:szCs w:val="24"/>
        </w:rPr>
        <w:footnoteReference w:id="63"/>
      </w:r>
      <w:bookmarkEnd w:id="96"/>
    </w:p>
    <w:p w:rsidR="002F0FFA" w:rsidRPr="00C90523" w:rsidRDefault="006568A3" w:rsidP="002F0FFA">
      <w:pPr>
        <w:spacing w:after="0"/>
        <w:rPr>
          <w:b/>
          <w:i/>
          <w:sz w:val="24"/>
          <w:szCs w:val="24"/>
        </w:rPr>
      </w:pPr>
      <w:r w:rsidRPr="006568A3">
        <w:rPr>
          <w:b/>
          <w:i/>
          <w:sz w:val="24"/>
          <w:szCs w:val="24"/>
        </w:rPr>
        <w:t xml:space="preserve">Quadro 1 - Indicadores Demográficos </w:t>
      </w:r>
    </w:p>
    <w:tbl>
      <w:tblPr>
        <w:tblW w:w="10829" w:type="dxa"/>
        <w:tblLayout w:type="fixed"/>
        <w:tblLook w:val="04A0" w:firstRow="1" w:lastRow="0" w:firstColumn="1" w:lastColumn="0" w:noHBand="0" w:noVBand="1"/>
      </w:tblPr>
      <w:tblGrid>
        <w:gridCol w:w="1076"/>
        <w:gridCol w:w="1049"/>
        <w:gridCol w:w="950"/>
        <w:gridCol w:w="961"/>
        <w:gridCol w:w="975"/>
        <w:gridCol w:w="626"/>
        <w:gridCol w:w="1016"/>
        <w:gridCol w:w="851"/>
        <w:gridCol w:w="1109"/>
        <w:gridCol w:w="1082"/>
        <w:gridCol w:w="1134"/>
      </w:tblGrid>
      <w:tr w:rsidR="002F0FFA" w:rsidRPr="00C90523" w:rsidTr="008F44D4">
        <w:trPr>
          <w:trHeight w:val="300"/>
          <w:tblHeader/>
        </w:trPr>
        <w:tc>
          <w:tcPr>
            <w:tcW w:w="2125" w:type="dxa"/>
            <w:gridSpan w:val="2"/>
            <w:vMerge w:val="restart"/>
            <w:shd w:val="clear" w:color="auto" w:fill="E36C0A" w:themeFill="accent6" w:themeFillShade="BF"/>
            <w:vAlign w:val="center"/>
            <w:hideMark/>
          </w:tcPr>
          <w:p w:rsidR="002F0FFA" w:rsidRPr="00C90523" w:rsidRDefault="006568A3" w:rsidP="008F44D4">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8F44D4">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8F44D4">
            <w:pPr>
              <w:spacing w:after="0" w:line="240" w:lineRule="auto"/>
              <w:jc w:val="center"/>
              <w:rPr>
                <w:b/>
                <w:bCs/>
                <w:sz w:val="20"/>
                <w:szCs w:val="20"/>
              </w:rPr>
            </w:pPr>
            <w:r w:rsidRPr="006568A3">
              <w:rPr>
                <w:b/>
                <w:bCs/>
                <w:sz w:val="20"/>
                <w:szCs w:val="20"/>
              </w:rPr>
              <w:t>Percentagem</w:t>
            </w:r>
          </w:p>
        </w:tc>
        <w:tc>
          <w:tcPr>
            <w:tcW w:w="1109" w:type="dxa"/>
            <w:vMerge w:val="restart"/>
            <w:shd w:val="clear" w:color="auto" w:fill="FABF8F" w:themeFill="accent6" w:themeFillTint="99"/>
            <w:vAlign w:val="center"/>
          </w:tcPr>
          <w:p w:rsidR="002F0FFA" w:rsidRPr="00C90523" w:rsidRDefault="006568A3" w:rsidP="008F44D4">
            <w:pPr>
              <w:spacing w:after="0" w:line="240" w:lineRule="auto"/>
              <w:jc w:val="center"/>
              <w:rPr>
                <w:b/>
                <w:bCs/>
                <w:sz w:val="20"/>
                <w:szCs w:val="20"/>
              </w:rPr>
            </w:pPr>
            <w:r w:rsidRPr="006568A3">
              <w:rPr>
                <w:b/>
                <w:bCs/>
                <w:sz w:val="20"/>
                <w:szCs w:val="20"/>
              </w:rPr>
              <w:t>Índice de paridade</w:t>
            </w:r>
            <w:r w:rsidRPr="006568A3">
              <w:rPr>
                <w:rStyle w:val="Refdenotaderodap"/>
                <w:b/>
                <w:bCs/>
                <w:sz w:val="20"/>
                <w:szCs w:val="20"/>
              </w:rPr>
              <w:footnoteReference w:id="64"/>
            </w:r>
          </w:p>
        </w:tc>
        <w:tc>
          <w:tcPr>
            <w:tcW w:w="1082" w:type="dxa"/>
            <w:vMerge w:val="restart"/>
            <w:shd w:val="clear" w:color="auto" w:fill="E36C0A" w:themeFill="accent6" w:themeFillShade="BF"/>
            <w:vAlign w:val="center"/>
          </w:tcPr>
          <w:p w:rsidR="002F0FFA" w:rsidRPr="00C90523" w:rsidRDefault="006568A3" w:rsidP="008F44D4">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8F44D4">
            <w:pPr>
              <w:spacing w:after="0" w:line="240" w:lineRule="auto"/>
              <w:jc w:val="center"/>
              <w:rPr>
                <w:b/>
                <w:bCs/>
                <w:sz w:val="20"/>
                <w:szCs w:val="20"/>
              </w:rPr>
            </w:pPr>
            <w:r w:rsidRPr="006568A3">
              <w:rPr>
                <w:b/>
                <w:bCs/>
                <w:sz w:val="20"/>
                <w:szCs w:val="20"/>
              </w:rPr>
              <w:t>Fonte</w:t>
            </w:r>
          </w:p>
        </w:tc>
      </w:tr>
      <w:tr w:rsidR="002F0FFA" w:rsidRPr="00C90523" w:rsidTr="008F44D4">
        <w:trPr>
          <w:trHeight w:val="364"/>
          <w:tblHeader/>
        </w:trPr>
        <w:tc>
          <w:tcPr>
            <w:tcW w:w="2125" w:type="dxa"/>
            <w:gridSpan w:val="2"/>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626"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1016"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1109"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8F44D4">
        <w:trPr>
          <w:trHeight w:val="276"/>
        </w:trPr>
        <w:tc>
          <w:tcPr>
            <w:tcW w:w="8613" w:type="dxa"/>
            <w:gridSpan w:val="9"/>
            <w:shd w:val="clear" w:color="auto" w:fill="D9D9D9" w:themeFill="background1" w:themeFillShade="D9"/>
            <w:noWrap/>
            <w:vAlign w:val="center"/>
            <w:hideMark/>
          </w:tcPr>
          <w:p w:rsidR="002F0FFA" w:rsidRPr="00C90523" w:rsidRDefault="006568A3" w:rsidP="002F0FFA">
            <w:pPr>
              <w:spacing w:after="0" w:line="240" w:lineRule="auto"/>
              <w:rPr>
                <w:sz w:val="20"/>
                <w:szCs w:val="20"/>
              </w:rPr>
            </w:pPr>
            <w:r w:rsidRPr="006568A3">
              <w:rPr>
                <w:sz w:val="20"/>
                <w:szCs w:val="20"/>
              </w:rPr>
              <w:t xml:space="preserve">1.1. Estrutura da população por grupos etários </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2014</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 xml:space="preserve">INE (2012) </w:t>
            </w:r>
            <w:r w:rsidRPr="006568A3">
              <w:rPr>
                <w:sz w:val="16"/>
                <w:szCs w:val="16"/>
              </w:rPr>
              <w:t>Projecções Demográficas de Cabo Verde</w:t>
            </w:r>
            <w:r w:rsidRPr="006568A3">
              <w:rPr>
                <w:sz w:val="20"/>
                <w:szCs w:val="20"/>
              </w:rPr>
              <w:t xml:space="preserve"> </w:t>
            </w:r>
          </w:p>
          <w:p w:rsidR="002F0FFA" w:rsidRPr="00C90523" w:rsidRDefault="006568A3" w:rsidP="002F0FFA">
            <w:pPr>
              <w:spacing w:after="0" w:line="240" w:lineRule="auto"/>
              <w:jc w:val="center"/>
              <w:rPr>
                <w:sz w:val="20"/>
                <w:szCs w:val="20"/>
              </w:rPr>
            </w:pPr>
            <w:r w:rsidRPr="006568A3">
              <w:rPr>
                <w:sz w:val="20"/>
                <w:szCs w:val="20"/>
              </w:rPr>
              <w:t>2010-2030</w:t>
            </w: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Total</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518.467</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259.723</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258.744</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color w:val="FF0000"/>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0-14 anos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154.415</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76.783</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77.632</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29,8</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29,6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30</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0,99</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15-24 anos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107.221</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52.732</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54.489</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20,7</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21,1</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0,96</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25-34 anos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93.870</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44.133</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49.737</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18,1</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19,2</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0,89</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34-64 anos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134.550</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68.641</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65.909</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25,5</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1,04</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65 anos e mais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28.413</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17.435</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10.978</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5,5</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4,2</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1,60</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8613" w:type="dxa"/>
            <w:gridSpan w:val="9"/>
            <w:shd w:val="clear" w:color="auto" w:fill="D9D9D9" w:themeFill="background1" w:themeFillShade="D9"/>
            <w:noWrap/>
            <w:vAlign w:val="center"/>
          </w:tcPr>
          <w:p w:rsidR="002F0FFA" w:rsidRPr="00C90523" w:rsidRDefault="006568A3" w:rsidP="002F0FFA">
            <w:pPr>
              <w:spacing w:after="0" w:line="240" w:lineRule="auto"/>
              <w:rPr>
                <w:rFonts w:cs="Arial"/>
                <w:sz w:val="20"/>
                <w:szCs w:val="20"/>
              </w:rPr>
            </w:pPr>
            <w:r w:rsidRPr="006568A3">
              <w:rPr>
                <w:sz w:val="20"/>
                <w:szCs w:val="20"/>
              </w:rPr>
              <w:t>1.2. População rural / urbana</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População rural</w:t>
            </w:r>
          </w:p>
        </w:tc>
        <w:tc>
          <w:tcPr>
            <w:tcW w:w="950" w:type="dxa"/>
            <w:noWrap/>
            <w:vAlign w:val="bottom"/>
          </w:tcPr>
          <w:p w:rsidR="002F0FFA" w:rsidRPr="00C90523" w:rsidRDefault="006568A3" w:rsidP="002F0FFA">
            <w:pPr>
              <w:spacing w:after="0" w:line="240" w:lineRule="auto"/>
              <w:jc w:val="right"/>
              <w:rPr>
                <w:color w:val="000000"/>
                <w:sz w:val="20"/>
                <w:szCs w:val="20"/>
              </w:rPr>
            </w:pPr>
            <w:r w:rsidRPr="006568A3">
              <w:rPr>
                <w:color w:val="000000"/>
                <w:sz w:val="20"/>
                <w:szCs w:val="20"/>
              </w:rPr>
              <w:t>188.055</w:t>
            </w:r>
          </w:p>
        </w:tc>
        <w:tc>
          <w:tcPr>
            <w:tcW w:w="961" w:type="dxa"/>
            <w:noWrap/>
            <w:vAlign w:val="bottom"/>
          </w:tcPr>
          <w:p w:rsidR="002F0FFA" w:rsidRPr="00C90523" w:rsidRDefault="006568A3" w:rsidP="002F0FFA">
            <w:pPr>
              <w:spacing w:after="0" w:line="240" w:lineRule="auto"/>
              <w:jc w:val="right"/>
              <w:rPr>
                <w:color w:val="000000"/>
                <w:sz w:val="20"/>
                <w:szCs w:val="20"/>
              </w:rPr>
            </w:pPr>
            <w:r w:rsidRPr="006568A3">
              <w:rPr>
                <w:color w:val="000000"/>
                <w:sz w:val="20"/>
                <w:szCs w:val="20"/>
              </w:rPr>
              <w:t>95.849</w:t>
            </w:r>
          </w:p>
        </w:tc>
        <w:tc>
          <w:tcPr>
            <w:tcW w:w="975" w:type="dxa"/>
            <w:shd w:val="clear" w:color="auto" w:fill="FFFFFF" w:themeFill="background1"/>
            <w:noWrap/>
            <w:vAlign w:val="bottom"/>
          </w:tcPr>
          <w:p w:rsidR="002F0FFA" w:rsidRPr="00C90523" w:rsidRDefault="006568A3" w:rsidP="002F0FFA">
            <w:pPr>
              <w:spacing w:after="0" w:line="240" w:lineRule="auto"/>
              <w:jc w:val="right"/>
              <w:rPr>
                <w:color w:val="000000"/>
                <w:sz w:val="20"/>
                <w:szCs w:val="20"/>
              </w:rPr>
            </w:pPr>
            <w:r w:rsidRPr="006568A3">
              <w:rPr>
                <w:color w:val="000000"/>
                <w:sz w:val="20"/>
                <w:szCs w:val="20"/>
              </w:rPr>
              <w:t>92.206</w:t>
            </w:r>
          </w:p>
        </w:tc>
        <w:tc>
          <w:tcPr>
            <w:tcW w:w="626"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1016"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51</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49</w:t>
            </w:r>
          </w:p>
        </w:tc>
        <w:tc>
          <w:tcPr>
            <w:tcW w:w="1109"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1,04</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População urbana</w:t>
            </w:r>
          </w:p>
        </w:tc>
        <w:tc>
          <w:tcPr>
            <w:tcW w:w="950" w:type="dxa"/>
            <w:noWrap/>
            <w:vAlign w:val="bottom"/>
          </w:tcPr>
          <w:p w:rsidR="002F0FFA" w:rsidRPr="00C90523" w:rsidRDefault="006568A3" w:rsidP="002F0FFA">
            <w:pPr>
              <w:spacing w:after="0" w:line="240" w:lineRule="auto"/>
              <w:jc w:val="right"/>
              <w:rPr>
                <w:color w:val="000000"/>
                <w:sz w:val="20"/>
                <w:szCs w:val="20"/>
              </w:rPr>
            </w:pPr>
            <w:r w:rsidRPr="006568A3">
              <w:rPr>
                <w:color w:val="000000"/>
                <w:sz w:val="20"/>
                <w:szCs w:val="20"/>
              </w:rPr>
              <w:t>303.628</w:t>
            </w:r>
          </w:p>
        </w:tc>
        <w:tc>
          <w:tcPr>
            <w:tcW w:w="961" w:type="dxa"/>
            <w:noWrap/>
            <w:vAlign w:val="bottom"/>
          </w:tcPr>
          <w:p w:rsidR="002F0FFA" w:rsidRPr="00C90523" w:rsidRDefault="006568A3" w:rsidP="002F0FFA">
            <w:pPr>
              <w:spacing w:after="0" w:line="240" w:lineRule="auto"/>
              <w:jc w:val="right"/>
              <w:rPr>
                <w:color w:val="000000"/>
                <w:sz w:val="20"/>
                <w:szCs w:val="20"/>
              </w:rPr>
            </w:pPr>
            <w:r w:rsidRPr="006568A3">
              <w:rPr>
                <w:color w:val="000000"/>
                <w:sz w:val="20"/>
                <w:szCs w:val="20"/>
              </w:rPr>
              <w:t>152.431</w:t>
            </w:r>
          </w:p>
        </w:tc>
        <w:tc>
          <w:tcPr>
            <w:tcW w:w="975" w:type="dxa"/>
            <w:shd w:val="clear" w:color="auto" w:fill="FFFFFF" w:themeFill="background1"/>
            <w:noWrap/>
            <w:vAlign w:val="bottom"/>
          </w:tcPr>
          <w:p w:rsidR="002F0FFA" w:rsidRPr="00C90523" w:rsidRDefault="006568A3" w:rsidP="002F0FFA">
            <w:pPr>
              <w:spacing w:after="0" w:line="240" w:lineRule="auto"/>
              <w:jc w:val="right"/>
              <w:rPr>
                <w:color w:val="000000"/>
                <w:sz w:val="20"/>
                <w:szCs w:val="20"/>
              </w:rPr>
            </w:pPr>
            <w:r w:rsidRPr="006568A3">
              <w:rPr>
                <w:color w:val="000000"/>
                <w:sz w:val="20"/>
                <w:szCs w:val="20"/>
              </w:rPr>
              <w:t>151.197</w:t>
            </w:r>
          </w:p>
        </w:tc>
        <w:tc>
          <w:tcPr>
            <w:tcW w:w="626"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1016"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50,2</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49,8</w:t>
            </w:r>
          </w:p>
        </w:tc>
        <w:tc>
          <w:tcPr>
            <w:tcW w:w="1109"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1,01</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1.3. Nº médio de filhos por mulher</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2,34</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8F44D4">
        <w:trPr>
          <w:trHeight w:val="276"/>
        </w:trPr>
        <w:tc>
          <w:tcPr>
            <w:tcW w:w="2125"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1.4. Taxa de fecundidade adolescente (por 1000) (15-19 anos)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62</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8F44D4">
        <w:trPr>
          <w:trHeight w:val="276"/>
        </w:trPr>
        <w:tc>
          <w:tcPr>
            <w:tcW w:w="8613" w:type="dxa"/>
            <w:gridSpan w:val="9"/>
            <w:shd w:val="clear" w:color="auto" w:fill="D9D9D9" w:themeFill="background1" w:themeFillShade="D9"/>
            <w:noWrap/>
            <w:vAlign w:val="center"/>
          </w:tcPr>
          <w:p w:rsidR="002F0FFA" w:rsidRPr="00C90523" w:rsidRDefault="006568A3" w:rsidP="002F0FFA">
            <w:pPr>
              <w:spacing w:after="0" w:line="240" w:lineRule="auto"/>
              <w:rPr>
                <w:rFonts w:cs="Arial"/>
                <w:sz w:val="20"/>
                <w:szCs w:val="20"/>
              </w:rPr>
            </w:pPr>
            <w:r w:rsidRPr="006568A3">
              <w:rPr>
                <w:sz w:val="20"/>
                <w:szCs w:val="20"/>
              </w:rPr>
              <w:t>1.5. Estado civil da população (12 anos e mais)</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Inquérito Multi-objectivo Contínuo (IMC)</w:t>
            </w: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Total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Solteiro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49,3</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44,5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54,4</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0,82</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Casado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13,1</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13,2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13</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1,02</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 xml:space="preserve">União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24</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24</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Divorciado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0,7</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0,6</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1,33</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Separado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11,2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6,7</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1,67</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Viúvo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3,9</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1,3</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4,92</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8613" w:type="dxa"/>
            <w:gridSpan w:val="9"/>
            <w:shd w:val="clear" w:color="auto" w:fill="D9D9D9" w:themeFill="background1" w:themeFillShade="D9"/>
            <w:noWrap/>
            <w:vAlign w:val="center"/>
            <w:hideMark/>
          </w:tcPr>
          <w:p w:rsidR="002F0FFA" w:rsidRPr="00C90523" w:rsidRDefault="006568A3" w:rsidP="002F0FFA">
            <w:pPr>
              <w:spacing w:after="0" w:line="240" w:lineRule="auto"/>
              <w:rPr>
                <w:sz w:val="20"/>
                <w:szCs w:val="20"/>
              </w:rPr>
            </w:pPr>
            <w:r w:rsidRPr="006568A3">
              <w:rPr>
                <w:sz w:val="20"/>
                <w:szCs w:val="20"/>
              </w:rPr>
              <w:t>1.7. Representantes dos agregados familiares (%)</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Cabo Verde</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52</w:t>
            </w:r>
          </w:p>
        </w:tc>
        <w:tc>
          <w:tcPr>
            <w:tcW w:w="1109"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0,92</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Rural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50,1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49,6</w:t>
            </w:r>
          </w:p>
        </w:tc>
        <w:tc>
          <w:tcPr>
            <w:tcW w:w="1109"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1,01</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Urbano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46,3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53,3</w:t>
            </w:r>
          </w:p>
        </w:tc>
        <w:tc>
          <w:tcPr>
            <w:tcW w:w="1109"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0,87</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8613" w:type="dxa"/>
            <w:gridSpan w:val="9"/>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1.8. Tamanho médio dos agregados segundo o sexo do representante</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Cabo Verde</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4,2</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4,2</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3,9</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1,08</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8613" w:type="dxa"/>
            <w:gridSpan w:val="9"/>
            <w:shd w:val="clear" w:color="auto" w:fill="D9D9D9" w:themeFill="background1" w:themeFillShade="D9"/>
            <w:noWrap/>
            <w:vAlign w:val="center"/>
          </w:tcPr>
          <w:p w:rsidR="002F0FFA" w:rsidRPr="00C90523" w:rsidRDefault="006568A3" w:rsidP="002F0FFA">
            <w:pPr>
              <w:spacing w:after="0" w:line="240" w:lineRule="auto"/>
              <w:jc w:val="both"/>
              <w:rPr>
                <w:sz w:val="20"/>
                <w:szCs w:val="20"/>
              </w:rPr>
            </w:pPr>
            <w:r w:rsidRPr="006568A3">
              <w:rPr>
                <w:sz w:val="20"/>
                <w:szCs w:val="20"/>
              </w:rPr>
              <w:t>1.9. Distribuição dos agregados segundo a tipologia e o sexo do representante (%)</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Total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Unipessoais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14,0</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17,1</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0,6</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2125" w:type="dxa"/>
            <w:gridSpan w:val="2"/>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S/ relações parentesco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0,9</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0,9</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0,9</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1076" w:type="dxa"/>
            <w:vMerge w:val="restart"/>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Conjugal</w:t>
            </w:r>
          </w:p>
        </w:tc>
        <w:tc>
          <w:tcPr>
            <w:tcW w:w="1049" w:type="dxa"/>
            <w:shd w:val="clear" w:color="auto" w:fill="FDE9D9" w:themeFill="accent6" w:themeFillTint="33"/>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5,5</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8,2</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0,2</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1076" w:type="dxa"/>
            <w:vMerge/>
            <w:shd w:val="clear" w:color="auto" w:fill="FDE9D9" w:themeFill="accent6" w:themeFillTint="33"/>
            <w:noWrap/>
            <w:vAlign w:val="center"/>
          </w:tcPr>
          <w:p w:rsidR="002F0FFA" w:rsidRPr="00C90523" w:rsidRDefault="002F0FFA" w:rsidP="002F0FFA">
            <w:pPr>
              <w:spacing w:after="0" w:line="240" w:lineRule="auto"/>
              <w:jc w:val="right"/>
              <w:rPr>
                <w:sz w:val="20"/>
                <w:szCs w:val="20"/>
              </w:rPr>
            </w:pPr>
          </w:p>
        </w:tc>
        <w:tc>
          <w:tcPr>
            <w:tcW w:w="1049" w:type="dxa"/>
            <w:shd w:val="clear" w:color="auto" w:fill="FDE9D9" w:themeFill="accent6" w:themeFillTint="33"/>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25,5</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37,7</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0,3</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1076" w:type="dxa"/>
            <w:vMerge/>
            <w:shd w:val="clear" w:color="auto" w:fill="FDE9D9" w:themeFill="accent6" w:themeFillTint="33"/>
            <w:noWrap/>
            <w:vAlign w:val="center"/>
          </w:tcPr>
          <w:p w:rsidR="002F0FFA" w:rsidRPr="00C90523" w:rsidRDefault="002F0FFA" w:rsidP="002F0FFA">
            <w:pPr>
              <w:spacing w:after="0" w:line="240" w:lineRule="auto"/>
              <w:jc w:val="right"/>
              <w:rPr>
                <w:sz w:val="20"/>
                <w:szCs w:val="20"/>
              </w:rPr>
            </w:pPr>
          </w:p>
        </w:tc>
        <w:tc>
          <w:tcPr>
            <w:tcW w:w="1049" w:type="dxa"/>
            <w:shd w:val="clear" w:color="auto" w:fill="FDE9D9" w:themeFill="accent6" w:themeFillTint="33"/>
            <w:vAlign w:val="center"/>
          </w:tcPr>
          <w:p w:rsidR="002F0FFA" w:rsidRPr="00C90523" w:rsidRDefault="006568A3" w:rsidP="002F0FFA">
            <w:pPr>
              <w:spacing w:after="0" w:line="240" w:lineRule="auto"/>
              <w:jc w:val="right"/>
              <w:rPr>
                <w:sz w:val="16"/>
                <w:szCs w:val="16"/>
              </w:rPr>
            </w:pPr>
            <w:r w:rsidRPr="006568A3">
              <w:rPr>
                <w:sz w:val="16"/>
                <w:szCs w:val="16"/>
              </w:rPr>
              <w:t>Compósito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16,3</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24,1</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0,3</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1076" w:type="dxa"/>
            <w:vMerge w:val="restart"/>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Mono-parental</w:t>
            </w:r>
          </w:p>
        </w:tc>
        <w:tc>
          <w:tcPr>
            <w:tcW w:w="1049" w:type="dxa"/>
            <w:shd w:val="clear" w:color="auto" w:fill="FDE9D9" w:themeFill="accent6" w:themeFillTint="33"/>
            <w:vAlign w:val="center"/>
          </w:tcPr>
          <w:p w:rsidR="002F0FFA" w:rsidRPr="00C90523" w:rsidRDefault="006568A3" w:rsidP="002F0FFA">
            <w:pPr>
              <w:spacing w:after="0" w:line="240" w:lineRule="auto"/>
              <w:jc w:val="right"/>
              <w:rPr>
                <w:sz w:val="16"/>
                <w:szCs w:val="16"/>
              </w:rPr>
            </w:pPr>
            <w:r w:rsidRPr="006568A3">
              <w:rPr>
                <w:sz w:val="16"/>
                <w:szCs w:val="16"/>
              </w:rPr>
              <w:t>Nuclear</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15,2</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29,4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4,0</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7,4</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8F44D4">
        <w:trPr>
          <w:trHeight w:val="276"/>
        </w:trPr>
        <w:tc>
          <w:tcPr>
            <w:tcW w:w="1076" w:type="dxa"/>
            <w:vMerge/>
            <w:shd w:val="clear" w:color="auto" w:fill="FDE9D9" w:themeFill="accent6" w:themeFillTint="33"/>
            <w:noWrap/>
            <w:vAlign w:val="center"/>
          </w:tcPr>
          <w:p w:rsidR="002F0FFA" w:rsidRPr="00C90523" w:rsidRDefault="002F0FFA" w:rsidP="002F0FFA">
            <w:pPr>
              <w:spacing w:after="0" w:line="240" w:lineRule="auto"/>
              <w:jc w:val="right"/>
              <w:rPr>
                <w:sz w:val="20"/>
                <w:szCs w:val="20"/>
              </w:rPr>
            </w:pPr>
          </w:p>
        </w:tc>
        <w:tc>
          <w:tcPr>
            <w:tcW w:w="1049" w:type="dxa"/>
            <w:shd w:val="clear" w:color="auto" w:fill="FDE9D9" w:themeFill="accent6" w:themeFillTint="33"/>
            <w:vAlign w:val="center"/>
          </w:tcPr>
          <w:p w:rsidR="002F0FFA" w:rsidRPr="00C90523" w:rsidRDefault="006568A3" w:rsidP="002F0FFA">
            <w:pPr>
              <w:spacing w:after="0" w:line="240" w:lineRule="auto"/>
              <w:jc w:val="right"/>
              <w:rPr>
                <w:sz w:val="16"/>
                <w:szCs w:val="16"/>
              </w:rPr>
            </w:pPr>
            <w:r w:rsidRPr="006568A3">
              <w:rPr>
                <w:sz w:val="16"/>
                <w:szCs w:val="16"/>
              </w:rPr>
              <w:t>Compósito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62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22,7</w:t>
            </w:r>
          </w:p>
        </w:tc>
        <w:tc>
          <w:tcPr>
            <w:tcW w:w="1016"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41,4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7,9</w:t>
            </w:r>
          </w:p>
        </w:tc>
        <w:tc>
          <w:tcPr>
            <w:tcW w:w="1109"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5,2</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bl>
    <w:p w:rsidR="002F0FFA" w:rsidRPr="00C90523" w:rsidRDefault="002F0FFA" w:rsidP="002F0FFA">
      <w:pPr>
        <w:shd w:val="clear" w:color="auto" w:fill="FFFFFF"/>
        <w:spacing w:after="0" w:line="240" w:lineRule="auto"/>
        <w:rPr>
          <w:b/>
        </w:rPr>
      </w:pPr>
    </w:p>
    <w:p w:rsidR="002F0FFA" w:rsidRPr="00C90523" w:rsidRDefault="006568A3" w:rsidP="002F0FFA">
      <w:pPr>
        <w:shd w:val="clear" w:color="auto" w:fill="FFFFFF"/>
        <w:spacing w:after="0" w:line="240" w:lineRule="auto"/>
        <w:rPr>
          <w:rFonts w:eastAsia="Times New Roman" w:cs="Helvetica"/>
          <w:b/>
          <w:i/>
          <w:color w:val="000000"/>
          <w:sz w:val="24"/>
          <w:szCs w:val="24"/>
        </w:rPr>
      </w:pPr>
      <w:r w:rsidRPr="006568A3">
        <w:rPr>
          <w:b/>
          <w:i/>
          <w:sz w:val="24"/>
          <w:szCs w:val="24"/>
        </w:rPr>
        <w:t xml:space="preserve">Quadro 2 – Indicadores da </w:t>
      </w:r>
      <w:r w:rsidRPr="006568A3">
        <w:rPr>
          <w:rFonts w:eastAsia="Times New Roman" w:cs="Helvetica"/>
          <w:b/>
          <w:i/>
          <w:color w:val="000000"/>
          <w:sz w:val="24"/>
          <w:szCs w:val="24"/>
        </w:rPr>
        <w:t>Saúde</w:t>
      </w:r>
    </w:p>
    <w:tbl>
      <w:tblPr>
        <w:tblW w:w="10682" w:type="dxa"/>
        <w:tblLayout w:type="fixed"/>
        <w:tblLook w:val="04A0" w:firstRow="1" w:lastRow="0" w:firstColumn="1" w:lastColumn="0" w:noHBand="0" w:noVBand="1"/>
      </w:tblPr>
      <w:tblGrid>
        <w:gridCol w:w="2125"/>
        <w:gridCol w:w="950"/>
        <w:gridCol w:w="961"/>
        <w:gridCol w:w="975"/>
        <w:gridCol w:w="767"/>
        <w:gridCol w:w="851"/>
        <w:gridCol w:w="875"/>
        <w:gridCol w:w="962"/>
        <w:gridCol w:w="1082"/>
        <w:gridCol w:w="1134"/>
      </w:tblGrid>
      <w:tr w:rsidR="002F0FFA" w:rsidRPr="00C90523" w:rsidTr="002F0FFA">
        <w:trPr>
          <w:trHeight w:val="300"/>
        </w:trPr>
        <w:tc>
          <w:tcPr>
            <w:tcW w:w="2125"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2F0FFA">
        <w:trPr>
          <w:trHeight w:val="480"/>
        </w:trPr>
        <w:tc>
          <w:tcPr>
            <w:tcW w:w="2125"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2.1. Esperança de vida à nascença (anos)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75</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79</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70</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1,13</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before="40" w:after="0" w:line="240" w:lineRule="auto"/>
              <w:rPr>
                <w:sz w:val="20"/>
                <w:szCs w:val="20"/>
              </w:rPr>
            </w:pPr>
            <w:r w:rsidRPr="006568A3">
              <w:rPr>
                <w:sz w:val="20"/>
                <w:szCs w:val="20"/>
              </w:rPr>
              <w:t>2.2. As 10 principais causas de mortalidade (por 1.000)</w:t>
            </w:r>
          </w:p>
        </w:tc>
        <w:tc>
          <w:tcPr>
            <w:tcW w:w="1082" w:type="dxa"/>
            <w:vMerge w:val="restart"/>
            <w:vAlign w:val="center"/>
          </w:tcPr>
          <w:p w:rsidR="002F0FFA" w:rsidRPr="00C90523" w:rsidRDefault="006568A3" w:rsidP="002F0FFA">
            <w:pPr>
              <w:spacing w:before="40"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before="40" w:after="0" w:line="240" w:lineRule="auto"/>
              <w:jc w:val="center"/>
              <w:rPr>
                <w:sz w:val="20"/>
                <w:szCs w:val="20"/>
              </w:rPr>
            </w:pPr>
            <w:r w:rsidRPr="006568A3">
              <w:rPr>
                <w:sz w:val="20"/>
                <w:szCs w:val="20"/>
              </w:rPr>
              <w:t>MS, Relatório Estatístico</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Doenças aparelho circulatório</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691</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385</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306</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136,6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151,2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121,7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0,80</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Tumores ou neoplasias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385</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183</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202</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76,1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71,9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80,4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1,12</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Sintomas mal definidos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288</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172</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116</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56,9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67,6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46,1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0,68</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Afecções respiratórias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260</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111</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149</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51,4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43,6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59,3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1,36</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Infecciosas e parasitárias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198</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96</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102</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39,1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37,7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40,6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1,08</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Afecções perinatais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142</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65</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77</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28,1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25,5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30,6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1,20</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 xml:space="preserve">Causas externas </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147</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29</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118</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29,1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46,9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4,11</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Traumatismo/</w:t>
            </w:r>
          </w:p>
          <w:p w:rsidR="002F0FFA" w:rsidRPr="00C90523" w:rsidRDefault="006568A3" w:rsidP="002F0FFA">
            <w:pPr>
              <w:spacing w:after="0" w:line="240" w:lineRule="auto"/>
              <w:jc w:val="right"/>
              <w:rPr>
                <w:sz w:val="20"/>
                <w:szCs w:val="20"/>
              </w:rPr>
            </w:pPr>
            <w:r w:rsidRPr="006568A3">
              <w:rPr>
                <w:sz w:val="20"/>
                <w:szCs w:val="20"/>
              </w:rPr>
              <w:t>envenenamento</w:t>
            </w:r>
          </w:p>
        </w:tc>
        <w:tc>
          <w:tcPr>
            <w:tcW w:w="950" w:type="dxa"/>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121</w:t>
            </w:r>
          </w:p>
        </w:tc>
        <w:tc>
          <w:tcPr>
            <w:tcW w:w="961" w:type="dxa"/>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29</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92</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23,9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36,6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3,21</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 xml:space="preserve">Doenças aparelho digestivo </w:t>
            </w:r>
          </w:p>
        </w:tc>
        <w:tc>
          <w:tcPr>
            <w:tcW w:w="950" w:type="dxa"/>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88</w:t>
            </w:r>
          </w:p>
        </w:tc>
        <w:tc>
          <w:tcPr>
            <w:tcW w:w="961" w:type="dxa"/>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36</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52</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1,47</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Doenças metab/endoc/nutri.</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88</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51</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37</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0,74</w:t>
            </w:r>
          </w:p>
        </w:tc>
        <w:tc>
          <w:tcPr>
            <w:tcW w:w="1082" w:type="dxa"/>
            <w:vMerge/>
          </w:tcPr>
          <w:p w:rsidR="002F0FFA" w:rsidRPr="00C90523" w:rsidRDefault="002F0FFA" w:rsidP="002F0FFA">
            <w:pPr>
              <w:spacing w:before="20" w:after="0" w:line="240" w:lineRule="auto"/>
              <w:rPr>
                <w:sz w:val="20"/>
                <w:szCs w:val="20"/>
              </w:rPr>
            </w:pPr>
          </w:p>
        </w:tc>
        <w:tc>
          <w:tcPr>
            <w:tcW w:w="1134" w:type="dxa"/>
            <w:vMerge/>
          </w:tcPr>
          <w:p w:rsidR="002F0FFA" w:rsidRPr="00C90523" w:rsidRDefault="002F0FFA" w:rsidP="002F0FFA">
            <w:pPr>
              <w:spacing w:before="20" w:after="0" w:line="240" w:lineRule="auto"/>
              <w:rPr>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2.3. Taxa de mortalidade (˂5 anos) (por 1000)</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275</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124</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151</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24,3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28,2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1,16</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MS, Relatório Estatístico</w:t>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2.4. Taxa mortalidade infantil (˂1 ano) </w:t>
            </w:r>
          </w:p>
          <w:p w:rsidR="002F0FFA" w:rsidRPr="00C90523" w:rsidRDefault="006568A3" w:rsidP="002F0FFA">
            <w:pPr>
              <w:spacing w:after="0" w:line="240" w:lineRule="auto"/>
              <w:rPr>
                <w:sz w:val="20"/>
                <w:szCs w:val="20"/>
              </w:rPr>
            </w:pPr>
            <w:r w:rsidRPr="006568A3">
              <w:rPr>
                <w:sz w:val="20"/>
                <w:szCs w:val="20"/>
              </w:rPr>
              <w:t>(por 1000)</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233</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104</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129</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20,4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24,1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1,18</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D9D9D9" w:themeFill="background1" w:themeFillShade="D9"/>
            <w:noWrap/>
          </w:tcPr>
          <w:p w:rsidR="002F0FFA" w:rsidRPr="00C90523" w:rsidRDefault="006568A3" w:rsidP="002F0FFA">
            <w:pPr>
              <w:spacing w:after="0" w:line="240" w:lineRule="auto"/>
              <w:rPr>
                <w:sz w:val="20"/>
                <w:szCs w:val="20"/>
              </w:rPr>
            </w:pPr>
            <w:r w:rsidRPr="006568A3">
              <w:rPr>
                <w:sz w:val="20"/>
                <w:szCs w:val="20"/>
              </w:rPr>
              <w:t>2.5. Prevalência do tabagismo entre adultos (25-64)</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15,9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3,98</w:t>
            </w:r>
          </w:p>
        </w:tc>
        <w:tc>
          <w:tcPr>
            <w:tcW w:w="1082" w:type="dxa"/>
            <w:vMerge w:val="restart"/>
            <w:vAlign w:val="center"/>
          </w:tcPr>
          <w:p w:rsidR="002F0FFA" w:rsidRPr="00C90523" w:rsidRDefault="006568A3" w:rsidP="008A7270">
            <w:pPr>
              <w:spacing w:beforeLines="60" w:before="144" w:afterLines="60" w:after="144" w:line="240" w:lineRule="auto"/>
              <w:jc w:val="center"/>
              <w:rPr>
                <w:sz w:val="20"/>
                <w:szCs w:val="20"/>
              </w:rPr>
            </w:pPr>
            <w:r w:rsidRPr="006568A3">
              <w:rPr>
                <w:sz w:val="20"/>
                <w:szCs w:val="20"/>
              </w:rPr>
              <w:t>2007/08</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 xml:space="preserve">IDNT – </w:t>
            </w:r>
            <w:r w:rsidRPr="006568A3">
              <w:rPr>
                <w:sz w:val="16"/>
                <w:szCs w:val="16"/>
              </w:rPr>
              <w:t>Inquérito sobre Factores de risco para as doenças não transmissíveis</w:t>
            </w:r>
          </w:p>
        </w:tc>
      </w:tr>
      <w:tr w:rsidR="002F0FFA" w:rsidRPr="00C90523" w:rsidTr="002F0FFA">
        <w:trPr>
          <w:trHeight w:val="276"/>
        </w:trPr>
        <w:tc>
          <w:tcPr>
            <w:tcW w:w="8466" w:type="dxa"/>
            <w:gridSpan w:val="8"/>
            <w:shd w:val="clear" w:color="auto" w:fill="D9D9D9" w:themeFill="background1" w:themeFillShade="D9"/>
            <w:noWrap/>
          </w:tcPr>
          <w:p w:rsidR="002F0FFA" w:rsidRPr="00C90523" w:rsidRDefault="006568A3" w:rsidP="002F0FFA">
            <w:pPr>
              <w:spacing w:after="0" w:line="240" w:lineRule="auto"/>
              <w:rPr>
                <w:sz w:val="20"/>
                <w:szCs w:val="20"/>
              </w:rPr>
            </w:pPr>
            <w:r w:rsidRPr="006568A3">
              <w:rPr>
                <w:sz w:val="20"/>
                <w:szCs w:val="20"/>
              </w:rPr>
              <w:t>2.6. Proporção de pessoas adultas (25-64 anos) com sobrepeso e obesas</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Sobrepeso (IMC&gt; 25)</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24,8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0,89</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Obesidade (IMC&gt; 30)</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0,45</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tcPr>
          <w:p w:rsidR="002F0FFA" w:rsidRPr="00C90523" w:rsidRDefault="006568A3" w:rsidP="002F0FFA">
            <w:pPr>
              <w:spacing w:after="0" w:line="240" w:lineRule="auto"/>
              <w:rPr>
                <w:sz w:val="20"/>
                <w:szCs w:val="20"/>
              </w:rPr>
            </w:pPr>
            <w:r w:rsidRPr="006568A3">
              <w:rPr>
                <w:sz w:val="20"/>
                <w:szCs w:val="20"/>
              </w:rPr>
              <w:t xml:space="preserve">2.7. Prevalência e tratamento da diabetes mellitus em pessoas adultas (25-64 anos) </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7100A9" w:rsidRPr="00C90523" w:rsidTr="002F0FFA">
        <w:trPr>
          <w:trHeight w:val="276"/>
        </w:trPr>
        <w:tc>
          <w:tcPr>
            <w:tcW w:w="2125" w:type="dxa"/>
            <w:shd w:val="clear" w:color="auto" w:fill="FDE9D9" w:themeFill="accent6" w:themeFillTint="33"/>
            <w:noWrap/>
          </w:tcPr>
          <w:p w:rsidR="007100A9" w:rsidRPr="00C90523" w:rsidRDefault="006568A3" w:rsidP="002F0FFA">
            <w:pPr>
              <w:spacing w:after="0" w:line="240" w:lineRule="auto"/>
              <w:jc w:val="right"/>
              <w:rPr>
                <w:sz w:val="20"/>
                <w:szCs w:val="20"/>
              </w:rPr>
            </w:pPr>
            <w:r w:rsidRPr="006568A3">
              <w:rPr>
                <w:sz w:val="20"/>
                <w:szCs w:val="20"/>
              </w:rPr>
              <w:t xml:space="preserve">Prevalência diabetes mellitus </w:t>
            </w:r>
          </w:p>
        </w:tc>
        <w:tc>
          <w:tcPr>
            <w:tcW w:w="950" w:type="dxa"/>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7100A9" w:rsidRPr="00C90523" w:rsidRDefault="007100A9" w:rsidP="00E56BF0">
            <w:pPr>
              <w:spacing w:after="0" w:line="240" w:lineRule="auto"/>
              <w:jc w:val="center"/>
              <w:rPr>
                <w:rFonts w:cs="Arial"/>
                <w:sz w:val="20"/>
                <w:szCs w:val="20"/>
              </w:rPr>
            </w:pPr>
            <w:r w:rsidRPr="00C90523">
              <w:rPr>
                <w:rFonts w:cs="Arial"/>
                <w:sz w:val="20"/>
                <w:szCs w:val="20"/>
              </w:rPr>
              <w:t>12,7</w:t>
            </w:r>
          </w:p>
        </w:tc>
        <w:tc>
          <w:tcPr>
            <w:tcW w:w="851" w:type="dxa"/>
            <w:shd w:val="clear" w:color="auto" w:fill="FDE9D9" w:themeFill="accent6" w:themeFillTint="33"/>
            <w:noWrap/>
            <w:vAlign w:val="center"/>
          </w:tcPr>
          <w:p w:rsidR="007100A9" w:rsidRPr="00C90523" w:rsidRDefault="007100A9" w:rsidP="00E56BF0">
            <w:pPr>
              <w:spacing w:after="0" w:line="240" w:lineRule="auto"/>
              <w:jc w:val="center"/>
              <w:rPr>
                <w:rFonts w:cs="Arial"/>
                <w:sz w:val="20"/>
                <w:szCs w:val="20"/>
                <w:highlight w:val="yellow"/>
              </w:rPr>
            </w:pPr>
            <w:r w:rsidRPr="00861276">
              <w:rPr>
                <w:rFonts w:cs="Arial"/>
                <w:sz w:val="20"/>
                <w:szCs w:val="20"/>
              </w:rPr>
              <w:t>10,2</w:t>
            </w:r>
          </w:p>
        </w:tc>
        <w:tc>
          <w:tcPr>
            <w:tcW w:w="875" w:type="dxa"/>
            <w:shd w:val="clear" w:color="auto" w:fill="FDE9D9" w:themeFill="accent6" w:themeFillTint="33"/>
            <w:noWrap/>
            <w:vAlign w:val="center"/>
          </w:tcPr>
          <w:p w:rsidR="007100A9" w:rsidRPr="00C90523" w:rsidRDefault="007100A9" w:rsidP="00E56BF0">
            <w:pPr>
              <w:spacing w:after="0" w:line="240" w:lineRule="auto"/>
              <w:jc w:val="center"/>
              <w:rPr>
                <w:rFonts w:cs="Arial"/>
                <w:sz w:val="20"/>
                <w:szCs w:val="20"/>
                <w:highlight w:val="yellow"/>
              </w:rPr>
            </w:pPr>
            <w:r w:rsidRPr="00C90523">
              <w:rPr>
                <w:rFonts w:cs="Arial"/>
                <w:sz w:val="20"/>
                <w:szCs w:val="20"/>
              </w:rPr>
              <w:t>15</w:t>
            </w:r>
          </w:p>
        </w:tc>
        <w:tc>
          <w:tcPr>
            <w:tcW w:w="962" w:type="dxa"/>
            <w:shd w:val="clear" w:color="auto" w:fill="FABF8F" w:themeFill="accent6" w:themeFillTint="99"/>
            <w:vAlign w:val="center"/>
          </w:tcPr>
          <w:p w:rsidR="007100A9" w:rsidRPr="00C90523" w:rsidRDefault="007100A9" w:rsidP="00E56BF0">
            <w:pPr>
              <w:spacing w:after="0" w:line="240" w:lineRule="auto"/>
              <w:jc w:val="center"/>
              <w:rPr>
                <w:rFonts w:cs="Arial"/>
                <w:sz w:val="20"/>
                <w:szCs w:val="20"/>
                <w:highlight w:val="yellow"/>
              </w:rPr>
            </w:pPr>
            <w:r w:rsidRPr="00C90523">
              <w:rPr>
                <w:rFonts w:cs="Arial"/>
                <w:sz w:val="20"/>
                <w:szCs w:val="20"/>
              </w:rPr>
              <w:t>1,47</w:t>
            </w:r>
          </w:p>
        </w:tc>
        <w:tc>
          <w:tcPr>
            <w:tcW w:w="1082" w:type="dxa"/>
            <w:vMerge/>
          </w:tcPr>
          <w:p w:rsidR="007100A9" w:rsidRPr="00C90523" w:rsidRDefault="007100A9" w:rsidP="002F0FFA">
            <w:pPr>
              <w:spacing w:after="0" w:line="240" w:lineRule="auto"/>
              <w:jc w:val="center"/>
              <w:rPr>
                <w:sz w:val="20"/>
                <w:szCs w:val="20"/>
              </w:rPr>
            </w:pPr>
          </w:p>
        </w:tc>
        <w:tc>
          <w:tcPr>
            <w:tcW w:w="1134" w:type="dxa"/>
            <w:vMerge/>
          </w:tcPr>
          <w:p w:rsidR="007100A9" w:rsidRPr="00C90523" w:rsidRDefault="007100A9" w:rsidP="002F0FFA">
            <w:pPr>
              <w:spacing w:after="0" w:line="240" w:lineRule="auto"/>
              <w:jc w:val="center"/>
              <w:rPr>
                <w:sz w:val="20"/>
                <w:szCs w:val="20"/>
              </w:rPr>
            </w:pPr>
          </w:p>
        </w:tc>
      </w:tr>
      <w:tr w:rsidR="007100A9" w:rsidRPr="00C90523" w:rsidTr="002F0FFA">
        <w:trPr>
          <w:trHeight w:val="276"/>
        </w:trPr>
        <w:tc>
          <w:tcPr>
            <w:tcW w:w="2125" w:type="dxa"/>
            <w:shd w:val="clear" w:color="auto" w:fill="FDE9D9" w:themeFill="accent6" w:themeFillTint="33"/>
            <w:noWrap/>
          </w:tcPr>
          <w:p w:rsidR="007100A9" w:rsidRPr="00C90523" w:rsidRDefault="006568A3" w:rsidP="002F0FFA">
            <w:pPr>
              <w:spacing w:after="0" w:line="240" w:lineRule="auto"/>
              <w:jc w:val="right"/>
              <w:rPr>
                <w:sz w:val="20"/>
                <w:szCs w:val="20"/>
              </w:rPr>
            </w:pPr>
            <w:r w:rsidRPr="006568A3">
              <w:rPr>
                <w:sz w:val="20"/>
                <w:szCs w:val="20"/>
              </w:rPr>
              <w:t>Proporção de pessoas identificadas em tratamento</w:t>
            </w:r>
          </w:p>
        </w:tc>
        <w:tc>
          <w:tcPr>
            <w:tcW w:w="950" w:type="dxa"/>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7100A9" w:rsidRPr="00C90523" w:rsidRDefault="007100A9" w:rsidP="00E56BF0">
            <w:pPr>
              <w:spacing w:after="0" w:line="240" w:lineRule="auto"/>
              <w:jc w:val="center"/>
              <w:rPr>
                <w:rFonts w:cs="Arial"/>
                <w:sz w:val="20"/>
                <w:szCs w:val="20"/>
              </w:rPr>
            </w:pPr>
            <w:r w:rsidRPr="00C90523">
              <w:rPr>
                <w:rFonts w:cs="Arial"/>
                <w:sz w:val="20"/>
                <w:szCs w:val="20"/>
              </w:rPr>
              <w:t>2,2</w:t>
            </w:r>
          </w:p>
        </w:tc>
        <w:tc>
          <w:tcPr>
            <w:tcW w:w="851" w:type="dxa"/>
            <w:shd w:val="clear" w:color="auto" w:fill="FDE9D9" w:themeFill="accent6" w:themeFillTint="33"/>
            <w:noWrap/>
            <w:vAlign w:val="center"/>
          </w:tcPr>
          <w:p w:rsidR="007100A9" w:rsidRPr="00861276" w:rsidRDefault="007100A9" w:rsidP="00E56BF0">
            <w:pPr>
              <w:spacing w:after="0" w:line="240" w:lineRule="auto"/>
              <w:jc w:val="center"/>
              <w:rPr>
                <w:rFonts w:cs="Arial"/>
                <w:sz w:val="20"/>
                <w:szCs w:val="20"/>
              </w:rPr>
            </w:pPr>
            <w:r w:rsidRPr="00861276">
              <w:rPr>
                <w:rFonts w:cs="Arial"/>
                <w:sz w:val="20"/>
                <w:szCs w:val="20"/>
              </w:rPr>
              <w:t>3,2</w:t>
            </w:r>
          </w:p>
        </w:tc>
        <w:tc>
          <w:tcPr>
            <w:tcW w:w="875" w:type="dxa"/>
            <w:shd w:val="clear" w:color="auto" w:fill="FDE9D9" w:themeFill="accent6" w:themeFillTint="33"/>
            <w:noWrap/>
            <w:vAlign w:val="center"/>
          </w:tcPr>
          <w:p w:rsidR="007100A9" w:rsidRPr="00C90523" w:rsidRDefault="007100A9" w:rsidP="00E56BF0">
            <w:pPr>
              <w:spacing w:after="0" w:line="240" w:lineRule="auto"/>
              <w:jc w:val="center"/>
              <w:rPr>
                <w:rFonts w:cs="Arial"/>
                <w:sz w:val="20"/>
                <w:szCs w:val="20"/>
              </w:rPr>
            </w:pPr>
            <w:r w:rsidRPr="00C90523">
              <w:rPr>
                <w:rFonts w:cs="Arial"/>
                <w:sz w:val="20"/>
                <w:szCs w:val="20"/>
              </w:rPr>
              <w:t>1,2</w:t>
            </w:r>
          </w:p>
        </w:tc>
        <w:tc>
          <w:tcPr>
            <w:tcW w:w="962" w:type="dxa"/>
            <w:shd w:val="clear" w:color="auto" w:fill="FABF8F" w:themeFill="accent6" w:themeFillTint="99"/>
            <w:vAlign w:val="center"/>
          </w:tcPr>
          <w:p w:rsidR="007100A9" w:rsidRPr="00C90523" w:rsidRDefault="007100A9" w:rsidP="00E56BF0">
            <w:pPr>
              <w:spacing w:after="0" w:line="240" w:lineRule="auto"/>
              <w:jc w:val="center"/>
              <w:rPr>
                <w:rFonts w:cs="Arial"/>
                <w:sz w:val="20"/>
                <w:szCs w:val="20"/>
              </w:rPr>
            </w:pPr>
            <w:r w:rsidRPr="00C90523">
              <w:rPr>
                <w:rFonts w:cs="Arial"/>
                <w:sz w:val="20"/>
                <w:szCs w:val="20"/>
              </w:rPr>
              <w:t>2,67</w:t>
            </w:r>
          </w:p>
        </w:tc>
        <w:tc>
          <w:tcPr>
            <w:tcW w:w="1082" w:type="dxa"/>
            <w:vMerge/>
          </w:tcPr>
          <w:p w:rsidR="007100A9" w:rsidRPr="00C90523" w:rsidRDefault="007100A9" w:rsidP="002F0FFA">
            <w:pPr>
              <w:spacing w:after="0" w:line="240" w:lineRule="auto"/>
              <w:jc w:val="center"/>
              <w:rPr>
                <w:sz w:val="20"/>
                <w:szCs w:val="20"/>
              </w:rPr>
            </w:pPr>
          </w:p>
        </w:tc>
        <w:tc>
          <w:tcPr>
            <w:tcW w:w="1134" w:type="dxa"/>
            <w:vMerge/>
          </w:tcPr>
          <w:p w:rsidR="007100A9" w:rsidRPr="00C90523" w:rsidRDefault="007100A9" w:rsidP="002F0FFA">
            <w:pPr>
              <w:spacing w:after="0" w:line="240" w:lineRule="auto"/>
              <w:jc w:val="center"/>
              <w:rPr>
                <w:sz w:val="20"/>
                <w:szCs w:val="20"/>
              </w:rPr>
            </w:pPr>
          </w:p>
        </w:tc>
      </w:tr>
    </w:tbl>
    <w:p w:rsidR="002F0FFA" w:rsidRPr="00C90523" w:rsidRDefault="002F0FFA" w:rsidP="002F0FFA">
      <w:pPr>
        <w:shd w:val="clear" w:color="auto" w:fill="FFFFFF"/>
        <w:spacing w:after="0" w:line="240" w:lineRule="auto"/>
        <w:rPr>
          <w:b/>
          <w:i/>
          <w:sz w:val="24"/>
          <w:szCs w:val="24"/>
        </w:rPr>
      </w:pPr>
    </w:p>
    <w:p w:rsidR="002F0FFA" w:rsidRPr="00C90523" w:rsidRDefault="006568A3" w:rsidP="002F0FFA">
      <w:pPr>
        <w:rPr>
          <w:b/>
          <w:i/>
          <w:sz w:val="24"/>
          <w:szCs w:val="24"/>
        </w:rPr>
      </w:pPr>
      <w:r w:rsidRPr="006568A3">
        <w:rPr>
          <w:b/>
          <w:i/>
          <w:sz w:val="24"/>
          <w:szCs w:val="24"/>
        </w:rPr>
        <w:br w:type="page"/>
      </w:r>
    </w:p>
    <w:p w:rsidR="002F0FFA" w:rsidRPr="00C90523" w:rsidRDefault="006568A3" w:rsidP="002F0FFA">
      <w:pPr>
        <w:shd w:val="clear" w:color="auto" w:fill="FFFFFF"/>
        <w:spacing w:after="0" w:line="240" w:lineRule="auto"/>
        <w:rPr>
          <w:rFonts w:eastAsia="Times New Roman" w:cs="Helvetica"/>
          <w:b/>
          <w:i/>
          <w:color w:val="000000"/>
          <w:sz w:val="24"/>
          <w:szCs w:val="24"/>
        </w:rPr>
      </w:pPr>
      <w:r w:rsidRPr="006568A3">
        <w:rPr>
          <w:b/>
          <w:i/>
          <w:sz w:val="24"/>
          <w:szCs w:val="24"/>
        </w:rPr>
        <w:t>Quadro 3 – Indicadores dos Direitos Sexuais e Reprodutivos</w:t>
      </w:r>
    </w:p>
    <w:tbl>
      <w:tblPr>
        <w:tblW w:w="10682" w:type="dxa"/>
        <w:tblLayout w:type="fixed"/>
        <w:tblLook w:val="04A0" w:firstRow="1" w:lastRow="0" w:firstColumn="1" w:lastColumn="0" w:noHBand="0" w:noVBand="1"/>
      </w:tblPr>
      <w:tblGrid>
        <w:gridCol w:w="2125"/>
        <w:gridCol w:w="950"/>
        <w:gridCol w:w="961"/>
        <w:gridCol w:w="975"/>
        <w:gridCol w:w="767"/>
        <w:gridCol w:w="851"/>
        <w:gridCol w:w="875"/>
        <w:gridCol w:w="962"/>
        <w:gridCol w:w="1082"/>
        <w:gridCol w:w="1134"/>
      </w:tblGrid>
      <w:tr w:rsidR="002F0FFA" w:rsidRPr="00C90523" w:rsidTr="002F0FFA">
        <w:trPr>
          <w:trHeight w:val="300"/>
        </w:trPr>
        <w:tc>
          <w:tcPr>
            <w:tcW w:w="2125"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2F0FFA">
        <w:trPr>
          <w:trHeight w:val="480"/>
        </w:trPr>
        <w:tc>
          <w:tcPr>
            <w:tcW w:w="2125"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7100A9" w:rsidRPr="00C90523" w:rsidTr="002F0FFA">
        <w:trPr>
          <w:trHeight w:val="276"/>
        </w:trPr>
        <w:tc>
          <w:tcPr>
            <w:tcW w:w="2125" w:type="dxa"/>
            <w:shd w:val="clear" w:color="auto" w:fill="D9D9D9" w:themeFill="background1" w:themeFillShade="D9"/>
            <w:noWrap/>
            <w:vAlign w:val="center"/>
          </w:tcPr>
          <w:p w:rsidR="007100A9" w:rsidRPr="00C90523" w:rsidRDefault="006568A3" w:rsidP="002F0FFA">
            <w:pPr>
              <w:spacing w:after="0" w:line="240" w:lineRule="auto"/>
              <w:rPr>
                <w:sz w:val="20"/>
                <w:szCs w:val="20"/>
              </w:rPr>
            </w:pPr>
            <w:r w:rsidRPr="006568A3">
              <w:rPr>
                <w:sz w:val="20"/>
                <w:szCs w:val="20"/>
              </w:rPr>
              <w:t>3.1. Mortalidade materna (por 100.000 nados vivos)</w:t>
            </w:r>
          </w:p>
        </w:tc>
        <w:tc>
          <w:tcPr>
            <w:tcW w:w="950" w:type="dxa"/>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7100A9" w:rsidRPr="00C90523" w:rsidRDefault="006568A3" w:rsidP="002F0FFA">
            <w:pPr>
              <w:spacing w:after="0" w:line="240" w:lineRule="auto"/>
              <w:jc w:val="center"/>
              <w:rPr>
                <w:sz w:val="20"/>
                <w:szCs w:val="20"/>
              </w:rPr>
            </w:pPr>
            <w:r w:rsidRPr="006568A3">
              <w:rPr>
                <w:sz w:val="20"/>
                <w:szCs w:val="20"/>
              </w:rPr>
              <w:t>1</w:t>
            </w:r>
          </w:p>
        </w:tc>
        <w:tc>
          <w:tcPr>
            <w:tcW w:w="975" w:type="dxa"/>
            <w:shd w:val="clear" w:color="auto" w:fill="FFFFFF" w:themeFill="background1"/>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7100A9"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9,6</w:t>
            </w:r>
          </w:p>
        </w:tc>
        <w:tc>
          <w:tcPr>
            <w:tcW w:w="875" w:type="dxa"/>
            <w:shd w:val="clear" w:color="auto" w:fill="FDE9D9" w:themeFill="accent6" w:themeFillTint="33"/>
            <w:noWrap/>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7100A9" w:rsidRPr="00C90523" w:rsidRDefault="006568A3" w:rsidP="002F0FFA">
            <w:pPr>
              <w:spacing w:after="0" w:line="240" w:lineRule="auto"/>
              <w:jc w:val="center"/>
              <w:rPr>
                <w:sz w:val="20"/>
                <w:szCs w:val="20"/>
              </w:rPr>
            </w:pPr>
            <w:r w:rsidRPr="006568A3">
              <w:rPr>
                <w:sz w:val="20"/>
                <w:szCs w:val="20"/>
              </w:rPr>
              <w:t>-</w:t>
            </w:r>
          </w:p>
        </w:tc>
        <w:tc>
          <w:tcPr>
            <w:tcW w:w="1082" w:type="dxa"/>
            <w:vAlign w:val="center"/>
          </w:tcPr>
          <w:p w:rsidR="007100A9" w:rsidRPr="00861276" w:rsidRDefault="007100A9" w:rsidP="00E56BF0">
            <w:pPr>
              <w:spacing w:after="0" w:line="240" w:lineRule="auto"/>
              <w:jc w:val="center"/>
              <w:rPr>
                <w:sz w:val="20"/>
                <w:szCs w:val="20"/>
                <w:highlight w:val="yellow"/>
              </w:rPr>
            </w:pPr>
            <w:r w:rsidRPr="00C90523">
              <w:rPr>
                <w:sz w:val="20"/>
                <w:szCs w:val="20"/>
              </w:rPr>
              <w:t>2012</w:t>
            </w:r>
          </w:p>
        </w:tc>
        <w:tc>
          <w:tcPr>
            <w:tcW w:w="1134" w:type="dxa"/>
            <w:vAlign w:val="center"/>
          </w:tcPr>
          <w:p w:rsidR="007100A9" w:rsidRPr="00C90523" w:rsidRDefault="006568A3" w:rsidP="00E56BF0">
            <w:pPr>
              <w:spacing w:after="0" w:line="240" w:lineRule="auto"/>
              <w:jc w:val="center"/>
              <w:rPr>
                <w:sz w:val="20"/>
                <w:szCs w:val="20"/>
                <w:highlight w:val="yellow"/>
              </w:rPr>
            </w:pPr>
            <w:r w:rsidRPr="006568A3">
              <w:rPr>
                <w:sz w:val="20"/>
                <w:szCs w:val="20"/>
              </w:rPr>
              <w:t>MS, Relatório Estatístico</w:t>
            </w: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3.2. Grávidas adolescentes (entre as grávidas atendidas na consulta pré-natal)</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MS, Relatório Estatístico</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Grávidas &lt;16 anos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Grávidas 17-19 anos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20</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3.3. Partos assistidos por profissionais qualificados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3.4. Atenção pré-natal</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2005</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&amp; MS, IDRS III</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Pelo menos 1 consulta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Pelo menos 4 consultas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72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3.5. Prevalência contraceptiva (método moderno entre mulheres casadas/unidas e não unidas sexualmente activas)</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2005</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&amp; Ministério da Saúde, IDRS III</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15-24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32,1</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i/>
                <w:sz w:val="16"/>
                <w:szCs w:val="16"/>
              </w:rPr>
            </w:pPr>
            <w:r w:rsidRPr="006568A3">
              <w:rPr>
                <w:i/>
                <w:sz w:val="16"/>
                <w:szCs w:val="16"/>
              </w:rPr>
              <w:t>15-19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851" w:type="dxa"/>
            <w:shd w:val="clear" w:color="auto" w:fill="FDE9D9" w:themeFill="accent6" w:themeFillTint="33"/>
            <w:noWrap/>
          </w:tcPr>
          <w:p w:rsidR="002F0FFA" w:rsidRPr="00C90523" w:rsidRDefault="006568A3" w:rsidP="002F0FFA">
            <w:pPr>
              <w:spacing w:after="0" w:line="240" w:lineRule="auto"/>
              <w:jc w:val="center"/>
              <w:rPr>
                <w:i/>
                <w:sz w:val="16"/>
                <w:szCs w:val="16"/>
              </w:rPr>
            </w:pPr>
            <w:r w:rsidRPr="006568A3">
              <w:rPr>
                <w:i/>
                <w:sz w:val="16"/>
                <w:szCs w:val="16"/>
              </w:rPr>
              <w:t>22</w:t>
            </w:r>
          </w:p>
        </w:tc>
        <w:tc>
          <w:tcPr>
            <w:tcW w:w="875" w:type="dxa"/>
            <w:shd w:val="clear" w:color="auto" w:fill="FDE9D9" w:themeFill="accent6" w:themeFillTint="33"/>
            <w:noWrap/>
          </w:tcPr>
          <w:p w:rsidR="002F0FFA" w:rsidRPr="00C90523" w:rsidRDefault="006568A3" w:rsidP="002F0FFA">
            <w:pPr>
              <w:spacing w:after="0" w:line="240" w:lineRule="auto"/>
              <w:jc w:val="center"/>
              <w:rPr>
                <w:sz w:val="16"/>
                <w:szCs w:val="16"/>
              </w:rPr>
            </w:pPr>
            <w:r w:rsidRPr="006568A3">
              <w:rPr>
                <w:sz w:val="16"/>
                <w:szCs w:val="16"/>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i/>
                <w:sz w:val="16"/>
                <w:szCs w:val="16"/>
              </w:rPr>
            </w:pPr>
            <w:r w:rsidRPr="006568A3">
              <w:rPr>
                <w:i/>
                <w:sz w:val="16"/>
                <w:szCs w:val="16"/>
              </w:rPr>
              <w:t>19-24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851" w:type="dxa"/>
            <w:shd w:val="clear" w:color="auto" w:fill="FDE9D9" w:themeFill="accent6" w:themeFillTint="33"/>
            <w:noWrap/>
          </w:tcPr>
          <w:p w:rsidR="002F0FFA" w:rsidRPr="00C90523" w:rsidRDefault="006568A3" w:rsidP="002F0FFA">
            <w:pPr>
              <w:spacing w:after="0" w:line="240" w:lineRule="auto"/>
              <w:jc w:val="center"/>
              <w:rPr>
                <w:i/>
                <w:sz w:val="16"/>
                <w:szCs w:val="16"/>
              </w:rPr>
            </w:pPr>
            <w:r w:rsidRPr="006568A3">
              <w:rPr>
                <w:i/>
                <w:sz w:val="16"/>
                <w:szCs w:val="16"/>
              </w:rPr>
              <w:t>47,8</w:t>
            </w:r>
          </w:p>
        </w:tc>
        <w:tc>
          <w:tcPr>
            <w:tcW w:w="875" w:type="dxa"/>
            <w:shd w:val="clear" w:color="auto" w:fill="FDE9D9" w:themeFill="accent6" w:themeFillTint="33"/>
            <w:noWrap/>
          </w:tcPr>
          <w:p w:rsidR="002F0FFA" w:rsidRPr="00C90523" w:rsidRDefault="006568A3" w:rsidP="002F0FFA">
            <w:pPr>
              <w:spacing w:after="0" w:line="240" w:lineRule="auto"/>
              <w:jc w:val="center"/>
              <w:rPr>
                <w:sz w:val="16"/>
                <w:szCs w:val="16"/>
              </w:rPr>
            </w:pPr>
            <w:r w:rsidRPr="006568A3">
              <w:rPr>
                <w:sz w:val="16"/>
                <w:szCs w:val="16"/>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15-49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41,6</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3.6. Demanda insatisfeita de planeamento familiar (mulheres unidas/casadas)</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15-24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21,4</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i/>
                <w:sz w:val="16"/>
                <w:szCs w:val="16"/>
              </w:rPr>
            </w:pPr>
            <w:r w:rsidRPr="006568A3">
              <w:rPr>
                <w:i/>
                <w:sz w:val="16"/>
                <w:szCs w:val="16"/>
              </w:rPr>
              <w:t>15-19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851" w:type="dxa"/>
            <w:shd w:val="clear" w:color="auto" w:fill="FDE9D9" w:themeFill="accent6" w:themeFillTint="33"/>
            <w:noWrap/>
          </w:tcPr>
          <w:p w:rsidR="002F0FFA" w:rsidRPr="00C90523" w:rsidRDefault="006568A3" w:rsidP="002F0FFA">
            <w:pPr>
              <w:spacing w:after="0" w:line="240" w:lineRule="auto"/>
              <w:jc w:val="center"/>
              <w:rPr>
                <w:i/>
                <w:sz w:val="16"/>
                <w:szCs w:val="16"/>
              </w:rPr>
            </w:pPr>
            <w:r w:rsidRPr="006568A3">
              <w:rPr>
                <w:i/>
                <w:sz w:val="16"/>
                <w:szCs w:val="16"/>
              </w:rPr>
              <w:t>23,3</w:t>
            </w:r>
          </w:p>
        </w:tc>
        <w:tc>
          <w:tcPr>
            <w:tcW w:w="875" w:type="dxa"/>
            <w:shd w:val="clear" w:color="auto" w:fill="FDE9D9" w:themeFill="accent6" w:themeFillTint="33"/>
            <w:noWrap/>
          </w:tcPr>
          <w:p w:rsidR="002F0FFA" w:rsidRPr="00C90523" w:rsidRDefault="006568A3" w:rsidP="002F0FFA">
            <w:pPr>
              <w:spacing w:after="0" w:line="240" w:lineRule="auto"/>
              <w:jc w:val="center"/>
              <w:rPr>
                <w:sz w:val="16"/>
                <w:szCs w:val="16"/>
              </w:rPr>
            </w:pPr>
            <w:r w:rsidRPr="006568A3">
              <w:rPr>
                <w:sz w:val="16"/>
                <w:szCs w:val="16"/>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i/>
                <w:sz w:val="16"/>
                <w:szCs w:val="16"/>
              </w:rPr>
            </w:pPr>
            <w:r w:rsidRPr="006568A3">
              <w:rPr>
                <w:i/>
                <w:sz w:val="16"/>
                <w:szCs w:val="16"/>
              </w:rPr>
              <w:t>19-24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851" w:type="dxa"/>
            <w:shd w:val="clear" w:color="auto" w:fill="FDE9D9" w:themeFill="accent6" w:themeFillTint="33"/>
            <w:noWrap/>
          </w:tcPr>
          <w:p w:rsidR="002F0FFA" w:rsidRPr="00C90523" w:rsidRDefault="006568A3" w:rsidP="002F0FFA">
            <w:pPr>
              <w:spacing w:after="0" w:line="240" w:lineRule="auto"/>
              <w:jc w:val="center"/>
              <w:rPr>
                <w:i/>
                <w:sz w:val="16"/>
                <w:szCs w:val="16"/>
              </w:rPr>
            </w:pPr>
            <w:r w:rsidRPr="006568A3">
              <w:rPr>
                <w:i/>
                <w:sz w:val="16"/>
                <w:szCs w:val="16"/>
              </w:rPr>
              <w:t>20,6</w:t>
            </w:r>
          </w:p>
        </w:tc>
        <w:tc>
          <w:tcPr>
            <w:tcW w:w="875" w:type="dxa"/>
            <w:shd w:val="clear" w:color="auto" w:fill="FDE9D9" w:themeFill="accent6" w:themeFillTint="33"/>
            <w:noWrap/>
          </w:tcPr>
          <w:p w:rsidR="002F0FFA" w:rsidRPr="00C90523" w:rsidRDefault="006568A3" w:rsidP="002F0FFA">
            <w:pPr>
              <w:spacing w:after="0" w:line="240" w:lineRule="auto"/>
              <w:jc w:val="center"/>
              <w:rPr>
                <w:sz w:val="16"/>
                <w:szCs w:val="16"/>
              </w:rPr>
            </w:pPr>
            <w:r w:rsidRPr="006568A3">
              <w:rPr>
                <w:sz w:val="16"/>
                <w:szCs w:val="16"/>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16"/>
                <w:szCs w:val="16"/>
              </w:rPr>
            </w:pPr>
            <w:r w:rsidRPr="006568A3">
              <w:rPr>
                <w:sz w:val="16"/>
                <w:szCs w:val="16"/>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15-49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16,7</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3.7. Taxa prevalência do VIH/SIDA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2,75</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3.8. Taxa de prevalência do VIH/SIDA (entre as grávidas)</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PLS/MS</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15-24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0,96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tcPr>
          <w:p w:rsidR="002F0FFA" w:rsidRPr="00C90523" w:rsidRDefault="002F0FFA" w:rsidP="002F0FFA">
            <w:pPr>
              <w:spacing w:after="0" w:line="240" w:lineRule="auto"/>
              <w:rPr>
                <w:sz w:val="20"/>
                <w:szCs w:val="20"/>
              </w:rPr>
            </w:pP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15-49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tcPr>
          <w:p w:rsidR="002F0FFA" w:rsidRPr="00C90523" w:rsidRDefault="002F0FFA" w:rsidP="002F0FFA">
            <w:pPr>
              <w:spacing w:after="0" w:line="240" w:lineRule="auto"/>
              <w:rPr>
                <w:sz w:val="20"/>
                <w:szCs w:val="20"/>
              </w:rPr>
            </w:pP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3.8. Acesso ao tratamento ARV</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996</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567</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429</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PLS/MS (cit. PNDS)</w:t>
            </w:r>
          </w:p>
        </w:tc>
      </w:tr>
    </w:tbl>
    <w:p w:rsidR="002F0FFA" w:rsidRPr="00C90523" w:rsidRDefault="002F0FFA" w:rsidP="002F0FFA">
      <w:pPr>
        <w:spacing w:after="0" w:line="240" w:lineRule="auto"/>
        <w:rPr>
          <w:rFonts w:eastAsia="Times New Roman" w:cs="Helvetica"/>
          <w:b/>
          <w:color w:val="000000"/>
        </w:rPr>
      </w:pPr>
    </w:p>
    <w:p w:rsidR="002F0FFA" w:rsidRPr="00C90523" w:rsidRDefault="006568A3" w:rsidP="002F0FFA">
      <w:pPr>
        <w:rPr>
          <w:rFonts w:eastAsia="Times New Roman" w:cs="Helvetica"/>
          <w:b/>
          <w:i/>
          <w:color w:val="000000"/>
          <w:sz w:val="24"/>
          <w:szCs w:val="24"/>
        </w:rPr>
      </w:pPr>
      <w:r w:rsidRPr="006568A3">
        <w:rPr>
          <w:rFonts w:eastAsia="Times New Roman" w:cs="Helvetica"/>
          <w:b/>
          <w:i/>
          <w:color w:val="000000"/>
          <w:sz w:val="24"/>
          <w:szCs w:val="24"/>
        </w:rPr>
        <w:br w:type="page"/>
      </w:r>
    </w:p>
    <w:p w:rsidR="002F0FFA" w:rsidRPr="00C90523" w:rsidRDefault="006568A3" w:rsidP="002F0FFA">
      <w:pPr>
        <w:shd w:val="clear" w:color="auto" w:fill="FFFFFF"/>
        <w:spacing w:after="0"/>
        <w:rPr>
          <w:rFonts w:eastAsia="Times New Roman" w:cs="Helvetica"/>
          <w:b/>
          <w:i/>
          <w:color w:val="000000"/>
          <w:sz w:val="24"/>
          <w:szCs w:val="24"/>
        </w:rPr>
      </w:pPr>
      <w:r w:rsidRPr="006568A3">
        <w:rPr>
          <w:rFonts w:eastAsia="Times New Roman" w:cs="Helvetica"/>
          <w:b/>
          <w:i/>
          <w:color w:val="000000"/>
          <w:sz w:val="24"/>
          <w:szCs w:val="24"/>
        </w:rPr>
        <w:t>Quadro 4 – Indicadores de Violência Baseada no Género</w:t>
      </w:r>
    </w:p>
    <w:tbl>
      <w:tblPr>
        <w:tblW w:w="10682" w:type="dxa"/>
        <w:tblLayout w:type="fixed"/>
        <w:tblLook w:val="04A0" w:firstRow="1" w:lastRow="0" w:firstColumn="1" w:lastColumn="0" w:noHBand="0" w:noVBand="1"/>
      </w:tblPr>
      <w:tblGrid>
        <w:gridCol w:w="2125"/>
        <w:gridCol w:w="950"/>
        <w:gridCol w:w="961"/>
        <w:gridCol w:w="975"/>
        <w:gridCol w:w="767"/>
        <w:gridCol w:w="851"/>
        <w:gridCol w:w="875"/>
        <w:gridCol w:w="962"/>
        <w:gridCol w:w="1082"/>
        <w:gridCol w:w="1134"/>
      </w:tblGrid>
      <w:tr w:rsidR="002F0FFA" w:rsidRPr="00C90523" w:rsidTr="002F0FFA">
        <w:trPr>
          <w:trHeight w:val="300"/>
        </w:trPr>
        <w:tc>
          <w:tcPr>
            <w:tcW w:w="2125"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2F0FFA">
        <w:trPr>
          <w:trHeight w:val="480"/>
        </w:trPr>
        <w:tc>
          <w:tcPr>
            <w:tcW w:w="2125"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rFonts w:cs="Arial"/>
                <w:bCs/>
                <w:color w:val="000000"/>
                <w:sz w:val="20"/>
                <w:szCs w:val="20"/>
              </w:rPr>
            </w:pPr>
            <w:r w:rsidRPr="006568A3">
              <w:rPr>
                <w:rFonts w:cs="Arial"/>
                <w:bCs/>
                <w:color w:val="000000"/>
                <w:sz w:val="20"/>
                <w:szCs w:val="20"/>
              </w:rPr>
              <w:t>4.1. Nº de ocorrências de VBG</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2.277</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MAI</w:t>
            </w:r>
            <w:r w:rsidRPr="006568A3">
              <w:rPr>
                <w:rStyle w:val="Refdenotaderodap"/>
                <w:sz w:val="20"/>
                <w:szCs w:val="20"/>
              </w:rPr>
              <w:footnoteReference w:id="65"/>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rFonts w:cs="Arial"/>
                <w:bCs/>
                <w:color w:val="000000"/>
                <w:sz w:val="20"/>
                <w:szCs w:val="20"/>
              </w:rPr>
            </w:pPr>
            <w:r w:rsidRPr="006568A3">
              <w:rPr>
                <w:rFonts w:cs="Arial"/>
                <w:bCs/>
                <w:color w:val="000000"/>
                <w:sz w:val="20"/>
                <w:szCs w:val="20"/>
              </w:rPr>
              <w:t>4.2. Nº de processos entrados por VBG</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3.491</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2012/13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MP</w:t>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rFonts w:cs="Arial"/>
                <w:bCs/>
                <w:color w:val="000000"/>
                <w:sz w:val="20"/>
                <w:szCs w:val="20"/>
              </w:rPr>
            </w:pPr>
            <w:r w:rsidRPr="006568A3">
              <w:rPr>
                <w:rFonts w:cs="Arial"/>
                <w:bCs/>
                <w:color w:val="000000"/>
                <w:sz w:val="20"/>
                <w:szCs w:val="20"/>
              </w:rPr>
              <w:t>4.3. Proporção de processos por VBG (do total de processos crimes)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2012/13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MP</w:t>
            </w:r>
            <w:r w:rsidRPr="006568A3">
              <w:rPr>
                <w:rStyle w:val="Refdenotaderodap"/>
                <w:sz w:val="20"/>
                <w:szCs w:val="20"/>
              </w:rPr>
              <w:footnoteReference w:id="66"/>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rFonts w:cs="Arial"/>
                <w:bCs/>
                <w:color w:val="000000"/>
                <w:sz w:val="20"/>
                <w:szCs w:val="20"/>
              </w:rPr>
            </w:pPr>
            <w:r w:rsidRPr="006568A3">
              <w:rPr>
                <w:rFonts w:cs="Arial"/>
                <w:bCs/>
                <w:color w:val="000000"/>
                <w:sz w:val="20"/>
                <w:szCs w:val="20"/>
              </w:rPr>
              <w:t xml:space="preserve">4.4. Proporção de processos por VBG que transitam (sobre total processos transitados) </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2012/13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MP</w:t>
            </w:r>
            <w:r w:rsidRPr="006568A3">
              <w:rPr>
                <w:rStyle w:val="Refdenotaderodap"/>
                <w:sz w:val="20"/>
                <w:szCs w:val="20"/>
              </w:rPr>
              <w:footnoteReference w:id="67"/>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rFonts w:cs="Arial"/>
                <w:bCs/>
                <w:color w:val="000000"/>
                <w:sz w:val="20"/>
                <w:szCs w:val="20"/>
              </w:rPr>
            </w:pPr>
            <w:r w:rsidRPr="006568A3">
              <w:rPr>
                <w:rFonts w:cs="Arial"/>
                <w:bCs/>
                <w:color w:val="000000"/>
                <w:sz w:val="20"/>
                <w:szCs w:val="20"/>
              </w:rPr>
              <w:t>4.5. Percentagem de processos de VBG resolvidos (entrados + pendentes)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21,4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2F0FFA" w:rsidP="002F0FFA">
            <w:pPr>
              <w:spacing w:after="0" w:line="240" w:lineRule="auto"/>
              <w:jc w:val="center"/>
              <w:rPr>
                <w:rFonts w:cs="Arial"/>
                <w:color w:val="000000"/>
                <w:sz w:val="20"/>
                <w:szCs w:val="20"/>
              </w:rPr>
            </w:pPr>
          </w:p>
        </w:tc>
        <w:tc>
          <w:tcPr>
            <w:tcW w:w="1082"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2012/13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MP</w:t>
            </w:r>
            <w:r w:rsidRPr="006568A3">
              <w:rPr>
                <w:rStyle w:val="Refdenotaderodap"/>
                <w:sz w:val="20"/>
                <w:szCs w:val="20"/>
              </w:rPr>
              <w:footnoteReference w:id="68"/>
            </w: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rFonts w:cs="Arial"/>
                <w:bCs/>
                <w:color w:val="000000"/>
                <w:sz w:val="20"/>
                <w:szCs w:val="20"/>
              </w:rPr>
              <w:t>4.6. Proporção de mulheres (15-49 anos) que declaram ter sofrido violência exercida pelo marido/companheiro nos últimos 12 meses por tipo de violência</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2005</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&amp; Ministério da Saúde, IDRS III</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Total</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18,8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Violência física</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15,7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Violência psicológica</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14,1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Violência sexual</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rFonts w:cs="Arial"/>
                <w:bCs/>
                <w:color w:val="000000"/>
                <w:sz w:val="20"/>
                <w:szCs w:val="20"/>
              </w:rPr>
              <w:t>4.7. Percentagem pessoas que pensam que nunca se justifica um homem bater na mulher/companheira</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82,7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83,7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0,99</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2005</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INE &amp; Ministério da Saúde, IDRS III</w:t>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rFonts w:cs="Arial"/>
                <w:bCs/>
                <w:color w:val="000000"/>
                <w:sz w:val="20"/>
                <w:szCs w:val="20"/>
              </w:rPr>
            </w:pPr>
            <w:r w:rsidRPr="006568A3">
              <w:rPr>
                <w:rFonts w:cs="Arial"/>
                <w:bCs/>
                <w:color w:val="000000"/>
                <w:sz w:val="20"/>
                <w:szCs w:val="20"/>
              </w:rPr>
              <w:t>4.8. Percentagem pessoas que pensam que uma mulher pode negar ter relações sexuais com o marido/ companheiro em qualquer circunstância</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50,4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55,9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0,9</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2005</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INE &amp; Ministério da Saúde, IDRS III</w:t>
            </w: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rFonts w:cs="Arial"/>
                <w:color w:val="000000"/>
                <w:sz w:val="20"/>
                <w:szCs w:val="20"/>
              </w:rPr>
            </w:pPr>
            <w:r w:rsidRPr="006568A3">
              <w:rPr>
                <w:bCs/>
                <w:sz w:val="20"/>
                <w:szCs w:val="20"/>
              </w:rPr>
              <w:t>4.9. Proporção da população que se sente insegura quando: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bCs/>
                <w:sz w:val="20"/>
                <w:szCs w:val="20"/>
              </w:rPr>
            </w:pPr>
            <w:r w:rsidRPr="006568A3">
              <w:rPr>
                <w:bCs/>
                <w:sz w:val="20"/>
                <w:szCs w:val="20"/>
              </w:rPr>
              <w:t xml:space="preserve">Caminha sozinha no seu bairro (dia) </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9,7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0,51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bCs/>
                <w:sz w:val="20"/>
                <w:szCs w:val="20"/>
              </w:rPr>
            </w:pPr>
            <w:r w:rsidRPr="006568A3">
              <w:rPr>
                <w:bCs/>
                <w:sz w:val="20"/>
                <w:szCs w:val="20"/>
              </w:rPr>
              <w:t xml:space="preserve">Caminha sozinha no seu bairro (noite)  </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51,6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58,6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43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0,73</w:t>
            </w:r>
          </w:p>
        </w:tc>
        <w:tc>
          <w:tcPr>
            <w:tcW w:w="1082" w:type="dxa"/>
            <w:vMerge/>
          </w:tcPr>
          <w:p w:rsidR="002F0FFA" w:rsidRPr="00C90523" w:rsidRDefault="002F0FFA" w:rsidP="002F0FFA">
            <w:pPr>
              <w:spacing w:after="0" w:line="240" w:lineRule="auto"/>
              <w:jc w:val="center"/>
              <w:rPr>
                <w:sz w:val="20"/>
                <w:szCs w:val="20"/>
                <w:highlight w:val="yellow"/>
              </w:rPr>
            </w:pPr>
          </w:p>
        </w:tc>
        <w:tc>
          <w:tcPr>
            <w:tcW w:w="1134" w:type="dxa"/>
            <w:vMerge/>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bCs/>
                <w:sz w:val="20"/>
                <w:szCs w:val="20"/>
              </w:rPr>
            </w:pPr>
            <w:r w:rsidRPr="006568A3">
              <w:rPr>
                <w:bCs/>
                <w:sz w:val="20"/>
                <w:szCs w:val="20"/>
              </w:rPr>
              <w:t xml:space="preserve">Fica sozinha na sua casa (dia) </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13,1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17,6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7,4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0,42</w:t>
            </w:r>
          </w:p>
        </w:tc>
        <w:tc>
          <w:tcPr>
            <w:tcW w:w="1082" w:type="dxa"/>
            <w:vMerge/>
          </w:tcPr>
          <w:p w:rsidR="002F0FFA" w:rsidRPr="00C90523" w:rsidRDefault="002F0FFA" w:rsidP="002F0FFA">
            <w:pPr>
              <w:spacing w:after="0" w:line="240" w:lineRule="auto"/>
              <w:jc w:val="center"/>
              <w:rPr>
                <w:sz w:val="20"/>
                <w:szCs w:val="20"/>
                <w:highlight w:val="yellow"/>
              </w:rPr>
            </w:pPr>
          </w:p>
        </w:tc>
        <w:tc>
          <w:tcPr>
            <w:tcW w:w="1134" w:type="dxa"/>
            <w:vMerge/>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bCs/>
                <w:sz w:val="20"/>
                <w:szCs w:val="20"/>
              </w:rPr>
            </w:pPr>
            <w:r w:rsidRPr="006568A3">
              <w:rPr>
                <w:bCs/>
                <w:sz w:val="20"/>
                <w:szCs w:val="20"/>
              </w:rPr>
              <w:t>Fica sozinha na sua casa (noite)</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34,3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43,9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22,4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0,51</w:t>
            </w:r>
          </w:p>
        </w:tc>
        <w:tc>
          <w:tcPr>
            <w:tcW w:w="1082" w:type="dxa"/>
            <w:vMerge/>
          </w:tcPr>
          <w:p w:rsidR="002F0FFA" w:rsidRPr="00C90523" w:rsidRDefault="002F0FFA" w:rsidP="002F0FFA">
            <w:pPr>
              <w:spacing w:after="0" w:line="240" w:lineRule="auto"/>
              <w:jc w:val="center"/>
              <w:rPr>
                <w:sz w:val="20"/>
                <w:szCs w:val="20"/>
                <w:highlight w:val="yellow"/>
              </w:rPr>
            </w:pPr>
          </w:p>
        </w:tc>
        <w:tc>
          <w:tcPr>
            <w:tcW w:w="1134" w:type="dxa"/>
            <w:vMerge/>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bCs/>
                <w:sz w:val="20"/>
                <w:szCs w:val="20"/>
              </w:rPr>
            </w:pPr>
            <w:r w:rsidRPr="006568A3">
              <w:rPr>
                <w:bCs/>
                <w:sz w:val="20"/>
                <w:szCs w:val="20"/>
              </w:rPr>
              <w:t>À espera ou quando anda de transporte (na sua localidade)</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32,6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38,4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25,5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0,66</w:t>
            </w:r>
          </w:p>
        </w:tc>
        <w:tc>
          <w:tcPr>
            <w:tcW w:w="1082" w:type="dxa"/>
            <w:vMerge/>
          </w:tcPr>
          <w:p w:rsidR="002F0FFA" w:rsidRPr="00C90523" w:rsidRDefault="002F0FFA" w:rsidP="002F0FFA">
            <w:pPr>
              <w:spacing w:after="0" w:line="240" w:lineRule="auto"/>
              <w:jc w:val="center"/>
              <w:rPr>
                <w:sz w:val="20"/>
                <w:szCs w:val="20"/>
                <w:highlight w:val="yellow"/>
              </w:rPr>
            </w:pPr>
          </w:p>
        </w:tc>
        <w:tc>
          <w:tcPr>
            <w:tcW w:w="1134" w:type="dxa"/>
            <w:vMerge/>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bCs/>
                <w:sz w:val="20"/>
                <w:szCs w:val="20"/>
              </w:rPr>
            </w:pPr>
            <w:r w:rsidRPr="006568A3">
              <w:rPr>
                <w:bCs/>
                <w:sz w:val="20"/>
                <w:szCs w:val="20"/>
              </w:rPr>
              <w:t>No seu local de trabalho</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975"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14,2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14,9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13,3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0,89</w:t>
            </w:r>
          </w:p>
        </w:tc>
        <w:tc>
          <w:tcPr>
            <w:tcW w:w="1082" w:type="dxa"/>
            <w:vMerge/>
          </w:tcPr>
          <w:p w:rsidR="002F0FFA" w:rsidRPr="00C90523" w:rsidRDefault="002F0FFA" w:rsidP="002F0FFA">
            <w:pPr>
              <w:spacing w:after="0" w:line="240" w:lineRule="auto"/>
              <w:jc w:val="center"/>
              <w:rPr>
                <w:sz w:val="20"/>
                <w:szCs w:val="20"/>
                <w:highlight w:val="yellow"/>
              </w:rPr>
            </w:pPr>
          </w:p>
        </w:tc>
        <w:tc>
          <w:tcPr>
            <w:tcW w:w="1134" w:type="dxa"/>
            <w:vMerge/>
          </w:tcPr>
          <w:p w:rsidR="002F0FFA" w:rsidRPr="00C90523" w:rsidRDefault="002F0FFA" w:rsidP="002F0FFA">
            <w:pPr>
              <w:spacing w:after="0" w:line="240" w:lineRule="auto"/>
              <w:jc w:val="center"/>
              <w:rPr>
                <w:sz w:val="20"/>
                <w:szCs w:val="20"/>
                <w:highlight w:val="yellow"/>
              </w:rPr>
            </w:pPr>
          </w:p>
        </w:tc>
      </w:tr>
    </w:tbl>
    <w:p w:rsidR="002F0FFA" w:rsidRPr="00C90523" w:rsidRDefault="002F0FFA" w:rsidP="002F0FFA">
      <w:pPr>
        <w:shd w:val="clear" w:color="auto" w:fill="FFFFFF"/>
        <w:spacing w:after="0" w:line="240" w:lineRule="auto"/>
        <w:rPr>
          <w:rFonts w:eastAsia="Times New Roman" w:cs="Helvetica"/>
          <w:b/>
          <w:color w:val="000000"/>
        </w:rPr>
      </w:pPr>
    </w:p>
    <w:p w:rsidR="002F0FFA" w:rsidRPr="00C90523" w:rsidRDefault="002F0FFA" w:rsidP="002F0FFA">
      <w:pPr>
        <w:shd w:val="clear" w:color="auto" w:fill="FFFFFF"/>
        <w:spacing w:after="0" w:line="240" w:lineRule="auto"/>
        <w:rPr>
          <w:rFonts w:eastAsia="Times New Roman" w:cs="Helvetica"/>
          <w:b/>
          <w:color w:val="000000"/>
        </w:rPr>
      </w:pPr>
    </w:p>
    <w:p w:rsidR="002F0FFA" w:rsidRPr="00C90523" w:rsidRDefault="006568A3" w:rsidP="002F0FFA">
      <w:pPr>
        <w:rPr>
          <w:rFonts w:eastAsia="Times New Roman" w:cs="Helvetica"/>
          <w:b/>
          <w:i/>
          <w:color w:val="000000"/>
          <w:sz w:val="24"/>
          <w:szCs w:val="24"/>
        </w:rPr>
      </w:pPr>
      <w:r w:rsidRPr="006568A3">
        <w:rPr>
          <w:rFonts w:eastAsia="Times New Roman" w:cs="Helvetica"/>
          <w:b/>
          <w:i/>
          <w:color w:val="000000"/>
          <w:sz w:val="24"/>
          <w:szCs w:val="24"/>
        </w:rPr>
        <w:br w:type="page"/>
      </w:r>
    </w:p>
    <w:p w:rsidR="002F0FFA" w:rsidRPr="00C90523" w:rsidRDefault="006568A3" w:rsidP="002F0FFA">
      <w:pPr>
        <w:shd w:val="clear" w:color="auto" w:fill="FFFFFF"/>
        <w:spacing w:after="0" w:line="240" w:lineRule="auto"/>
        <w:rPr>
          <w:rFonts w:eastAsia="Times New Roman" w:cs="Helvetica"/>
          <w:b/>
          <w:i/>
          <w:color w:val="000000"/>
          <w:sz w:val="24"/>
          <w:szCs w:val="24"/>
        </w:rPr>
      </w:pPr>
      <w:r w:rsidRPr="006568A3">
        <w:rPr>
          <w:rFonts w:eastAsia="Times New Roman" w:cs="Helvetica"/>
          <w:b/>
          <w:i/>
          <w:color w:val="000000"/>
          <w:sz w:val="24"/>
          <w:szCs w:val="24"/>
        </w:rPr>
        <w:t xml:space="preserve">Quadro 5 – Indicadores da Educação </w:t>
      </w:r>
    </w:p>
    <w:tbl>
      <w:tblPr>
        <w:tblW w:w="10933" w:type="dxa"/>
        <w:tblLayout w:type="fixed"/>
        <w:tblLook w:val="04A0" w:firstRow="1" w:lastRow="0" w:firstColumn="1" w:lastColumn="0" w:noHBand="0" w:noVBand="1"/>
      </w:tblPr>
      <w:tblGrid>
        <w:gridCol w:w="2376"/>
        <w:gridCol w:w="950"/>
        <w:gridCol w:w="961"/>
        <w:gridCol w:w="975"/>
        <w:gridCol w:w="767"/>
        <w:gridCol w:w="851"/>
        <w:gridCol w:w="875"/>
        <w:gridCol w:w="962"/>
        <w:gridCol w:w="1082"/>
        <w:gridCol w:w="1134"/>
      </w:tblGrid>
      <w:tr w:rsidR="002F0FFA" w:rsidRPr="00C90523" w:rsidTr="00325ECC">
        <w:trPr>
          <w:trHeight w:val="300"/>
        </w:trPr>
        <w:tc>
          <w:tcPr>
            <w:tcW w:w="2376"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325ECC">
        <w:trPr>
          <w:trHeight w:val="480"/>
        </w:trPr>
        <w:tc>
          <w:tcPr>
            <w:tcW w:w="2376"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5.1. Taxa de analfabetismo da população de 15 anos </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Total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12,8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16,6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0,54</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Urbano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10,1</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13,2</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0,53</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Rural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17,9</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23</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12,6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0,55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15-24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2,2</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1,6</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2,8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1,75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25-34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1,00</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35-64 anos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0,48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65 anos e mais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0,61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5.2. Taxa líquida de escolarização por nível de ensino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DGPOG, MED</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pré-escolar</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64,6</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63,9</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65,4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0,98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básico</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93,3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91,8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94,7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0,97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secundário</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69,5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74,2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64,8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1,15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superior</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1,64</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2011</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MESCI</w:t>
            </w: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5.3. Taxa bruta de matrículas por nível de ensino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Relatório Estatístico MED</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pré-escolar</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71,0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70,0</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71,9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0,97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básico</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107</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102</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111</w:t>
            </w:r>
          </w:p>
        </w:tc>
        <w:tc>
          <w:tcPr>
            <w:tcW w:w="962" w:type="dxa"/>
            <w:shd w:val="clear" w:color="auto" w:fill="FABF8F" w:themeFill="accent6" w:themeFillTint="99"/>
            <w:vAlign w:val="bottom"/>
          </w:tcPr>
          <w:p w:rsidR="002F0FFA" w:rsidRPr="00C90523" w:rsidRDefault="006568A3" w:rsidP="002F0FFA">
            <w:pPr>
              <w:spacing w:after="0" w:line="240" w:lineRule="auto"/>
              <w:jc w:val="center"/>
              <w:rPr>
                <w:sz w:val="20"/>
                <w:szCs w:val="20"/>
              </w:rPr>
            </w:pPr>
            <w:r w:rsidRPr="006568A3">
              <w:rPr>
                <w:sz w:val="20"/>
                <w:szCs w:val="20"/>
              </w:rPr>
              <w:t>0,91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secundário</w:t>
            </w:r>
          </w:p>
        </w:tc>
        <w:tc>
          <w:tcPr>
            <w:tcW w:w="950" w:type="dxa"/>
            <w:noWrap/>
          </w:tcPr>
          <w:p w:rsidR="002F0FFA" w:rsidRPr="00C90523" w:rsidRDefault="006568A3" w:rsidP="002F0FFA">
            <w:pPr>
              <w:spacing w:after="0" w:line="240" w:lineRule="auto"/>
              <w:jc w:val="center"/>
            </w:pPr>
            <w:r w:rsidRPr="006568A3">
              <w:rPr>
                <w:sz w:val="20"/>
                <w:szCs w:val="20"/>
              </w:rPr>
              <w:t>-</w:t>
            </w:r>
          </w:p>
        </w:tc>
        <w:tc>
          <w:tcPr>
            <w:tcW w:w="961" w:type="dxa"/>
            <w:noWrap/>
          </w:tcPr>
          <w:p w:rsidR="002F0FFA" w:rsidRPr="00C90523" w:rsidRDefault="006568A3" w:rsidP="002F0FFA">
            <w:pPr>
              <w:spacing w:after="0" w:line="240" w:lineRule="auto"/>
              <w:jc w:val="cente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92,7</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99,6</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85,9</w:t>
            </w:r>
          </w:p>
        </w:tc>
        <w:tc>
          <w:tcPr>
            <w:tcW w:w="962" w:type="dxa"/>
            <w:shd w:val="clear" w:color="auto" w:fill="FABF8F" w:themeFill="accent6" w:themeFillTint="99"/>
            <w:vAlign w:val="bottom"/>
          </w:tcPr>
          <w:p w:rsidR="002F0FFA" w:rsidRPr="00C90523" w:rsidRDefault="006568A3" w:rsidP="002F0FFA">
            <w:pPr>
              <w:spacing w:after="0" w:line="240" w:lineRule="auto"/>
              <w:jc w:val="center"/>
              <w:rPr>
                <w:sz w:val="20"/>
                <w:szCs w:val="20"/>
              </w:rPr>
            </w:pPr>
            <w:r w:rsidRPr="006568A3">
              <w:rPr>
                <w:sz w:val="20"/>
                <w:szCs w:val="20"/>
              </w:rPr>
              <w:t>1,16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superior</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21,9</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24,5</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17,5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1,40</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2011</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MESCI</w:t>
            </w:r>
          </w:p>
        </w:tc>
      </w:tr>
      <w:tr w:rsidR="002F0FFA" w:rsidRPr="00C90523" w:rsidTr="00325ECC">
        <w:trPr>
          <w:trHeight w:val="276"/>
        </w:trPr>
        <w:tc>
          <w:tcPr>
            <w:tcW w:w="2376"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5.4. Taxa de transição ensino básico/secund.</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89,2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90,4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85,8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1,05</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DGPOG, MED</w:t>
            </w: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5.5. Taxa de diplomados/as por nível de ensino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highlight w:val="yellow"/>
              </w:rPr>
            </w:pPr>
            <w:r w:rsidRPr="006568A3">
              <w:rPr>
                <w:sz w:val="20"/>
                <w:szCs w:val="20"/>
              </w:rPr>
              <w:t>DGPOG, MED</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básico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89,2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91,9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86,7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secundário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61,6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65,1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52,4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1,24</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superior</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34,8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33,6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37,2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0,90</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2011</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MESCI</w:t>
            </w: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5.6. Percentagem de diplomados do ensino superior nas diferentes áreas  </w:t>
            </w:r>
          </w:p>
        </w:tc>
        <w:tc>
          <w:tcPr>
            <w:tcW w:w="1082" w:type="dxa"/>
            <w:vMerge w:val="restart"/>
            <w:vAlign w:val="center"/>
          </w:tcPr>
          <w:p w:rsidR="002F0FFA" w:rsidRPr="00C90523" w:rsidRDefault="006568A3" w:rsidP="002F0FFA">
            <w:pPr>
              <w:spacing w:after="0" w:line="240" w:lineRule="auto"/>
              <w:jc w:val="center"/>
              <w:rPr>
                <w:sz w:val="20"/>
                <w:szCs w:val="20"/>
                <w:highlight w:val="yellow"/>
              </w:rPr>
            </w:pPr>
            <w:r w:rsidRPr="006568A3">
              <w:rPr>
                <w:sz w:val="20"/>
                <w:szCs w:val="20"/>
              </w:rPr>
              <w:t>2010</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RGPH</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Total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 xml:space="preserve">C. sociais &amp; humanas, letras/ línguas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55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61,1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44,8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1,36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FF0000"/>
                <w:sz w:val="20"/>
                <w:szCs w:val="20"/>
              </w:rPr>
            </w:pPr>
            <w:r w:rsidRPr="006568A3">
              <w:rPr>
                <w:rFonts w:cs="Arial"/>
                <w:color w:val="000000"/>
                <w:sz w:val="20"/>
                <w:szCs w:val="20"/>
              </w:rPr>
              <w:t>Ciências exactas / eng.</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16,5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11,4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0,46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FF0000"/>
                <w:sz w:val="20"/>
                <w:szCs w:val="20"/>
              </w:rPr>
            </w:pPr>
            <w:r w:rsidRPr="006568A3">
              <w:rPr>
                <w:rFonts w:cs="Arial"/>
                <w:color w:val="000000"/>
                <w:sz w:val="20"/>
                <w:szCs w:val="20"/>
              </w:rPr>
              <w:t>C. econ./jurídicas/pol.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28,5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27,5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30,2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0,91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5.7. Percentagem pop. c/ incapacidade escolarizada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 xml:space="preserve">          53,6 </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47,4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 xml:space="preserve">          63,1 </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0,75</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INE, RGPH</w:t>
            </w:r>
          </w:p>
        </w:tc>
      </w:tr>
      <w:tr w:rsidR="002F0FFA" w:rsidRPr="00C90523" w:rsidTr="00325ECC">
        <w:trPr>
          <w:trHeight w:val="276"/>
        </w:trPr>
        <w:tc>
          <w:tcPr>
            <w:tcW w:w="2376"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5.8. Percentagem crianças (0-2 anos) que frequenta uma instituição </w:t>
            </w:r>
            <w:r w:rsidRPr="006568A3">
              <w:rPr>
                <w:rFonts w:ascii="Calibri" w:eastAsia="Times New Roman" w:hAnsi="Calibri" w:cs="Times New Roman"/>
                <w:sz w:val="20"/>
                <w:szCs w:val="20"/>
                <w:lang w:eastAsia="es-ES"/>
              </w:rPr>
              <w:t>de cuidados</w:t>
            </w:r>
            <w:r w:rsidRPr="006568A3">
              <w:rPr>
                <w:rStyle w:val="Refdenotaderodap"/>
                <w:rFonts w:ascii="Calibri" w:eastAsia="Times New Roman" w:hAnsi="Calibri" w:cs="Times New Roman"/>
                <w:sz w:val="20"/>
                <w:szCs w:val="20"/>
                <w:lang w:eastAsia="es-ES"/>
              </w:rPr>
              <w:footnoteReference w:id="69"/>
            </w:r>
            <w:r w:rsidRPr="006568A3">
              <w:rPr>
                <w:rFonts w:ascii="Calibri" w:eastAsia="Times New Roman" w:hAnsi="Calibri" w:cs="Times New Roman"/>
                <w:sz w:val="20"/>
                <w:szCs w:val="20"/>
                <w:lang w:eastAsia="es-ES"/>
              </w:rPr>
              <w:t xml:space="preserve">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Relatório Estatístico MED</w:t>
            </w: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5.9. Professores/docentes por nível de ensino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highlight w:val="yellow"/>
              </w:rPr>
            </w:pPr>
            <w:r w:rsidRPr="006568A3">
              <w:rPr>
                <w:sz w:val="20"/>
                <w:szCs w:val="20"/>
              </w:rPr>
              <w:t>Relatório Estatístico MED</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pré-escolar</w:t>
            </w:r>
          </w:p>
        </w:tc>
        <w:tc>
          <w:tcPr>
            <w:tcW w:w="950" w:type="dxa"/>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1.212</w:t>
            </w:r>
          </w:p>
        </w:tc>
        <w:tc>
          <w:tcPr>
            <w:tcW w:w="961" w:type="dxa"/>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1.212</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0</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0</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básico</w:t>
            </w:r>
          </w:p>
        </w:tc>
        <w:tc>
          <w:tcPr>
            <w:tcW w:w="950" w:type="dxa"/>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2.955</w:t>
            </w:r>
          </w:p>
        </w:tc>
        <w:tc>
          <w:tcPr>
            <w:tcW w:w="961" w:type="dxa"/>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1.997</w:t>
            </w:r>
          </w:p>
        </w:tc>
        <w:tc>
          <w:tcPr>
            <w:tcW w:w="975" w:type="dxa"/>
            <w:shd w:val="clear" w:color="auto" w:fill="FFFFFF" w:themeFill="background1"/>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958</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67,6</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32,4</w:t>
            </w:r>
          </w:p>
        </w:tc>
        <w:tc>
          <w:tcPr>
            <w:tcW w:w="962" w:type="dxa"/>
            <w:shd w:val="clear" w:color="auto" w:fill="FABF8F" w:themeFill="accent6" w:themeFillTint="99"/>
          </w:tcPr>
          <w:p w:rsidR="002F0FFA" w:rsidRPr="00C90523" w:rsidRDefault="006568A3" w:rsidP="002F0FFA">
            <w:pPr>
              <w:spacing w:after="0" w:line="240" w:lineRule="auto"/>
              <w:jc w:val="center"/>
              <w:rPr>
                <w:sz w:val="20"/>
                <w:szCs w:val="20"/>
              </w:rPr>
            </w:pPr>
            <w:r w:rsidRPr="006568A3">
              <w:rPr>
                <w:color w:val="000000"/>
                <w:sz w:val="20"/>
                <w:szCs w:val="20"/>
              </w:rPr>
              <w:t>2,1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 xml:space="preserve">Ensino secundário </w:t>
            </w:r>
          </w:p>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(público e privado)</w:t>
            </w:r>
          </w:p>
        </w:tc>
        <w:tc>
          <w:tcPr>
            <w:tcW w:w="950" w:type="dxa"/>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3.624</w:t>
            </w:r>
          </w:p>
        </w:tc>
        <w:tc>
          <w:tcPr>
            <w:tcW w:w="961" w:type="dxa"/>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1.560</w:t>
            </w:r>
          </w:p>
        </w:tc>
        <w:tc>
          <w:tcPr>
            <w:tcW w:w="975" w:type="dxa"/>
            <w:shd w:val="clear" w:color="auto" w:fill="FFFFFF" w:themeFill="background1"/>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2.064</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0,43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0,57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0,76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Ensino superior</w:t>
            </w:r>
          </w:p>
        </w:tc>
        <w:tc>
          <w:tcPr>
            <w:tcW w:w="950" w:type="dxa"/>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1.316</w:t>
            </w:r>
          </w:p>
        </w:tc>
        <w:tc>
          <w:tcPr>
            <w:tcW w:w="961" w:type="dxa"/>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490</w:t>
            </w:r>
          </w:p>
        </w:tc>
        <w:tc>
          <w:tcPr>
            <w:tcW w:w="975" w:type="dxa"/>
            <w:shd w:val="clear" w:color="auto" w:fill="FFFFFF" w:themeFill="background1"/>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826</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37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63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0,59</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2011</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R. Estat. MESCI</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Mestres/dout. (E. Sup.)</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727</w:t>
            </w:r>
          </w:p>
        </w:tc>
        <w:tc>
          <w:tcPr>
            <w:tcW w:w="961" w:type="dxa"/>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247</w:t>
            </w:r>
          </w:p>
        </w:tc>
        <w:tc>
          <w:tcPr>
            <w:tcW w:w="975" w:type="dxa"/>
            <w:shd w:val="clear" w:color="auto" w:fill="FFFFFF" w:themeFill="background1"/>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480</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55,2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50,4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58,1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0,87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8717"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5.10. Cargos directivos por nível de ensino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2014</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DGPOG, MED</w:t>
            </w: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Ministério</w:t>
            </w:r>
          </w:p>
        </w:tc>
        <w:tc>
          <w:tcPr>
            <w:tcW w:w="950" w:type="dxa"/>
            <w:noWrap/>
            <w:vAlign w:val="center"/>
          </w:tcPr>
          <w:p w:rsidR="002F0FFA" w:rsidRPr="00C90523" w:rsidRDefault="006568A3" w:rsidP="002F0FFA">
            <w:pPr>
              <w:spacing w:after="0" w:line="240" w:lineRule="auto"/>
              <w:jc w:val="center"/>
            </w:pPr>
            <w:r w:rsidRPr="006568A3">
              <w:rPr>
                <w:sz w:val="20"/>
                <w:szCs w:val="20"/>
              </w:rPr>
              <w:t>16</w:t>
            </w:r>
          </w:p>
        </w:tc>
        <w:tc>
          <w:tcPr>
            <w:tcW w:w="961" w:type="dxa"/>
            <w:noWrap/>
            <w:vAlign w:val="center"/>
          </w:tcPr>
          <w:p w:rsidR="002F0FFA" w:rsidRPr="00C90523" w:rsidRDefault="006568A3" w:rsidP="002F0FFA">
            <w:pPr>
              <w:spacing w:after="0" w:line="240" w:lineRule="auto"/>
              <w:jc w:val="center"/>
            </w:pPr>
            <w:r w:rsidRPr="006568A3">
              <w:rPr>
                <w:sz w:val="20"/>
                <w:szCs w:val="20"/>
              </w:rPr>
              <w:t>7</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9</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43,8</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56,3</w:t>
            </w:r>
          </w:p>
        </w:tc>
        <w:tc>
          <w:tcPr>
            <w:tcW w:w="962"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0,78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 xml:space="preserve">Delegados/as </w:t>
            </w:r>
          </w:p>
        </w:tc>
        <w:tc>
          <w:tcPr>
            <w:tcW w:w="950" w:type="dxa"/>
            <w:noWrap/>
            <w:vAlign w:val="center"/>
          </w:tcPr>
          <w:p w:rsidR="002F0FFA" w:rsidRPr="00C90523" w:rsidRDefault="006568A3" w:rsidP="002F0FFA">
            <w:pPr>
              <w:spacing w:after="0" w:line="240" w:lineRule="auto"/>
              <w:jc w:val="center"/>
            </w:pPr>
            <w:r w:rsidRPr="006568A3">
              <w:rPr>
                <w:sz w:val="20"/>
                <w:szCs w:val="20"/>
              </w:rPr>
              <w:t>22</w:t>
            </w:r>
          </w:p>
        </w:tc>
        <w:tc>
          <w:tcPr>
            <w:tcW w:w="961" w:type="dxa"/>
            <w:noWrap/>
            <w:vAlign w:val="center"/>
          </w:tcPr>
          <w:p w:rsidR="002F0FFA" w:rsidRPr="00C90523" w:rsidRDefault="006568A3" w:rsidP="002F0FFA">
            <w:pPr>
              <w:spacing w:after="0" w:line="240" w:lineRule="auto"/>
              <w:jc w:val="center"/>
            </w:pPr>
            <w:r w:rsidRPr="006568A3">
              <w:rPr>
                <w:sz w:val="20"/>
                <w:szCs w:val="20"/>
              </w:rPr>
              <w:t>4</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18</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18,2</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81,8</w:t>
            </w:r>
          </w:p>
        </w:tc>
        <w:tc>
          <w:tcPr>
            <w:tcW w:w="962"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0,22</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Coordenadores pedag.</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219</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106</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113</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48,4</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51,6</w:t>
            </w:r>
          </w:p>
        </w:tc>
        <w:tc>
          <w:tcPr>
            <w:tcW w:w="962"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0,94</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Gestores/as pólos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211</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85</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126</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40,3</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59,7</w:t>
            </w:r>
          </w:p>
        </w:tc>
        <w:tc>
          <w:tcPr>
            <w:tcW w:w="962"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0,67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325ECC">
        <w:trPr>
          <w:trHeight w:val="276"/>
        </w:trPr>
        <w:tc>
          <w:tcPr>
            <w:tcW w:w="2376"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Directores/as (ES)</w:t>
            </w:r>
          </w:p>
        </w:tc>
        <w:tc>
          <w:tcPr>
            <w:tcW w:w="950" w:type="dxa"/>
            <w:noWrap/>
            <w:vAlign w:val="center"/>
          </w:tcPr>
          <w:p w:rsidR="002F0FFA" w:rsidRPr="00C90523" w:rsidRDefault="006568A3" w:rsidP="002F0FFA">
            <w:pPr>
              <w:spacing w:after="0" w:line="240" w:lineRule="auto"/>
              <w:jc w:val="center"/>
            </w:pPr>
            <w:r w:rsidRPr="006568A3">
              <w:rPr>
                <w:sz w:val="20"/>
                <w:szCs w:val="20"/>
              </w:rPr>
              <w:t>48</w:t>
            </w:r>
          </w:p>
        </w:tc>
        <w:tc>
          <w:tcPr>
            <w:tcW w:w="961" w:type="dxa"/>
            <w:noWrap/>
            <w:vAlign w:val="center"/>
          </w:tcPr>
          <w:p w:rsidR="002F0FFA" w:rsidRPr="00C90523" w:rsidRDefault="006568A3" w:rsidP="002F0FFA">
            <w:pPr>
              <w:spacing w:after="0" w:line="240" w:lineRule="auto"/>
              <w:jc w:val="center"/>
            </w:pPr>
            <w:r w:rsidRPr="006568A3">
              <w:rPr>
                <w:sz w:val="20"/>
                <w:szCs w:val="20"/>
              </w:rPr>
              <w:t>15</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33</w:t>
            </w:r>
          </w:p>
        </w:tc>
        <w:tc>
          <w:tcPr>
            <w:tcW w:w="767"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31,3</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68,8</w:t>
            </w:r>
          </w:p>
        </w:tc>
        <w:tc>
          <w:tcPr>
            <w:tcW w:w="962" w:type="dxa"/>
            <w:shd w:val="clear" w:color="auto" w:fill="FABF8F" w:themeFill="accent6" w:themeFillTint="99"/>
            <w:vAlign w:val="bottom"/>
          </w:tcPr>
          <w:p w:rsidR="002F0FFA" w:rsidRPr="00C90523" w:rsidRDefault="006568A3" w:rsidP="002F0FFA">
            <w:pPr>
              <w:spacing w:after="0" w:line="240" w:lineRule="auto"/>
              <w:jc w:val="center"/>
              <w:rPr>
                <w:color w:val="000000"/>
                <w:sz w:val="20"/>
                <w:szCs w:val="20"/>
              </w:rPr>
            </w:pPr>
            <w:r w:rsidRPr="006568A3">
              <w:rPr>
                <w:color w:val="000000"/>
                <w:sz w:val="20"/>
                <w:szCs w:val="20"/>
              </w:rPr>
              <w:t>0,45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bl>
    <w:p w:rsidR="002F0FFA" w:rsidRPr="00C90523" w:rsidRDefault="006568A3" w:rsidP="002F0FFA">
      <w:pPr>
        <w:shd w:val="clear" w:color="auto" w:fill="FFFFFF"/>
        <w:spacing w:after="0" w:line="240" w:lineRule="auto"/>
        <w:rPr>
          <w:rFonts w:eastAsia="Times New Roman" w:cs="Helvetica"/>
          <w:b/>
          <w:i/>
          <w:sz w:val="24"/>
          <w:szCs w:val="24"/>
        </w:rPr>
      </w:pPr>
      <w:r w:rsidRPr="006568A3">
        <w:rPr>
          <w:rFonts w:eastAsia="Times New Roman" w:cs="Helvetica"/>
          <w:b/>
          <w:i/>
          <w:sz w:val="24"/>
          <w:szCs w:val="24"/>
        </w:rPr>
        <w:t>Quadro 6 – Indicadores da economia produtiva</w:t>
      </w:r>
    </w:p>
    <w:tbl>
      <w:tblPr>
        <w:tblW w:w="10682" w:type="dxa"/>
        <w:tblLayout w:type="fixed"/>
        <w:tblLook w:val="04A0" w:firstRow="1" w:lastRow="0" w:firstColumn="1" w:lastColumn="0" w:noHBand="0" w:noVBand="1"/>
      </w:tblPr>
      <w:tblGrid>
        <w:gridCol w:w="2125"/>
        <w:gridCol w:w="950"/>
        <w:gridCol w:w="961"/>
        <w:gridCol w:w="975"/>
        <w:gridCol w:w="767"/>
        <w:gridCol w:w="851"/>
        <w:gridCol w:w="875"/>
        <w:gridCol w:w="962"/>
        <w:gridCol w:w="1082"/>
        <w:gridCol w:w="1134"/>
      </w:tblGrid>
      <w:tr w:rsidR="002F0FFA" w:rsidRPr="00C90523" w:rsidTr="002F0FFA">
        <w:trPr>
          <w:trHeight w:val="300"/>
          <w:tblHeader/>
        </w:trPr>
        <w:tc>
          <w:tcPr>
            <w:tcW w:w="2125"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2F0FFA">
        <w:trPr>
          <w:trHeight w:val="480"/>
        </w:trPr>
        <w:tc>
          <w:tcPr>
            <w:tcW w:w="2125"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6.1. Taxa de actividade da população de 15 anos e mais</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w:t>
            </w:r>
          </w:p>
          <w:p w:rsidR="002F0FFA" w:rsidRPr="00C90523" w:rsidRDefault="006568A3" w:rsidP="002F0FFA">
            <w:pPr>
              <w:spacing w:after="0" w:line="240" w:lineRule="auto"/>
              <w:jc w:val="center"/>
              <w:rPr>
                <w:sz w:val="20"/>
                <w:szCs w:val="20"/>
              </w:rPr>
            </w:pPr>
            <w:r w:rsidRPr="006568A3">
              <w:rPr>
                <w:sz w:val="20"/>
                <w:szCs w:val="20"/>
              </w:rPr>
              <w:t>IMC</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Total</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60,1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53,5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67,1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15-19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18,7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0,65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20-24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58,1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51,9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64,1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25-29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77,1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70,5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83,3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30-34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83,5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77,9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88,6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35-39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83,2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76,6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90,2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40-44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82,8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76,6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89,3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45-49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71,3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64,9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78,7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0,82</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50-54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70,2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0,77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60-64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43,2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31,1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61,4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0,51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65 +</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16,2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0,35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6.2. Taxa de desemprego (15 anos e mais) </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Total</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16,8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16,4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17,2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1,05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Urbano</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19,1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18,7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19,5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1,04</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Rural</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12,1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11,3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12,7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1,12</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20-24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33,7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36,8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31,0</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0,84</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25-29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23,5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0,95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30-34 anos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13,4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12,1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14,5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1,20</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6.3. Ramos de actividade </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Agricultura, pec., pesca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22,1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38,6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61,4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0,63</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Comércio grosso/retalho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16,6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63,3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36,7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1,73</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 xml:space="preserve">Administração pública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39,7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60,3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0,85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Construção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94,6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0,06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Industria transformadora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36,7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63,3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0,58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 xml:space="preserve">Educação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66,8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33,2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0,62</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Alojamento e restauração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1,73</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 xml:space="preserve">Pessoal doméstico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89,1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10,9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8,17 </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Transporte/armazenamento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11,6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88,4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0,15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Actividades admin. e dos serviços de apoio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38,3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61,7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1,06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Outras act. /serviços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53,4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46,6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2,37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Informação/com.</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51,3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48,7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0,13</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 xml:space="preserve">Saúde/ação social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1,5</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70,3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29,7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0,66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Actividades financeiras e de seguro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56,4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43,6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1,56</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Indústria extractiva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56,1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43,9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1,28</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Consultoria científica/técnica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1,29</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Electricidade, gás, água quente e fria, ar frio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10,1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89,9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0,11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Água e saneamento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31,8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68,2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0,47</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Artistas, espectáculos, desporto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27,3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72,7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2,01</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Actividades Imob.</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51,4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48,6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1,05</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sz w:val="20"/>
                <w:szCs w:val="20"/>
              </w:rPr>
            </w:pPr>
            <w:r w:rsidRPr="006568A3">
              <w:rPr>
                <w:rFonts w:cs="Arial"/>
                <w:sz w:val="20"/>
                <w:szCs w:val="20"/>
              </w:rPr>
              <w:t>Bens/serviços para uso/consumo próprio</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0,1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92,7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12,70</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8466" w:type="dxa"/>
            <w:gridSpan w:val="8"/>
            <w:shd w:val="clear" w:color="auto" w:fill="auto"/>
            <w:noWrap/>
            <w:vAlign w:val="center"/>
          </w:tcPr>
          <w:p w:rsidR="002F0FFA" w:rsidRPr="00C90523" w:rsidRDefault="002F0FFA" w:rsidP="002F0FFA">
            <w:pPr>
              <w:spacing w:after="0" w:line="240" w:lineRule="auto"/>
              <w:rPr>
                <w:sz w:val="20"/>
                <w:szCs w:val="20"/>
              </w:rPr>
            </w:pPr>
          </w:p>
          <w:p w:rsidR="002F0FFA" w:rsidRPr="00C90523" w:rsidRDefault="002F0FFA" w:rsidP="002F0FFA">
            <w:pPr>
              <w:spacing w:after="0" w:line="240" w:lineRule="auto"/>
              <w:rPr>
                <w:sz w:val="20"/>
                <w:szCs w:val="20"/>
              </w:rPr>
            </w:pPr>
          </w:p>
        </w:tc>
        <w:tc>
          <w:tcPr>
            <w:tcW w:w="1082" w:type="dxa"/>
            <w:shd w:val="clear" w:color="auto" w:fill="auto"/>
            <w:vAlign w:val="center"/>
          </w:tcPr>
          <w:p w:rsidR="002F0FFA" w:rsidRPr="00C90523" w:rsidRDefault="002F0FFA" w:rsidP="002F0FFA">
            <w:pPr>
              <w:spacing w:after="0" w:line="240" w:lineRule="auto"/>
              <w:jc w:val="center"/>
              <w:rPr>
                <w:sz w:val="20"/>
                <w:szCs w:val="20"/>
              </w:rPr>
            </w:pPr>
          </w:p>
        </w:tc>
        <w:tc>
          <w:tcPr>
            <w:tcW w:w="1134" w:type="dxa"/>
            <w:shd w:val="clear" w:color="auto" w:fill="auto"/>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rFonts w:cs="Arial"/>
                <w:color w:val="000000"/>
                <w:sz w:val="20"/>
                <w:szCs w:val="20"/>
              </w:rPr>
            </w:pPr>
            <w:r w:rsidRPr="006568A3">
              <w:rPr>
                <w:sz w:val="20"/>
                <w:szCs w:val="20"/>
              </w:rPr>
              <w:t>6.4. Quatro (4) principais sectores de emprego de mulheres e homens</w:t>
            </w:r>
          </w:p>
        </w:tc>
        <w:tc>
          <w:tcPr>
            <w:tcW w:w="1082" w:type="dxa"/>
            <w:vMerge w:val="restart"/>
            <w:shd w:val="clear" w:color="auto" w:fill="FFFFFF" w:themeFill="background1"/>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shd w:val="clear" w:color="auto" w:fill="FFFFFF" w:themeFill="background1"/>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2F0FFA">
        <w:trPr>
          <w:trHeight w:val="48"/>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Agricultura, pec., pesca</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24,8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Comércio a grosso/retalho</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15,7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Administração pública</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Construção</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10</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Indústrias transform.</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Educação</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Emprego doméstico</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4,7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c>
          <w:tcPr>
            <w:tcW w:w="1134" w:type="dxa"/>
            <w:vMerge/>
            <w:shd w:val="clear" w:color="auto" w:fill="FFFFFF" w:themeFill="background1"/>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rFonts w:cs="Arial"/>
                <w:color w:val="000000"/>
                <w:sz w:val="20"/>
                <w:szCs w:val="20"/>
              </w:rPr>
            </w:pPr>
            <w:r w:rsidRPr="006568A3">
              <w:rPr>
                <w:sz w:val="20"/>
                <w:szCs w:val="20"/>
              </w:rPr>
              <w:t>6.5. Taxa de subemprego (menos de 40 horas semanais de trabalho remunerado quando existe disponibilidade para trabalhar mais horas, caso encontrasse outra actividade)</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Total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FF0000"/>
                <w:sz w:val="20"/>
                <w:szCs w:val="20"/>
                <w:highlight w:val="yellow"/>
              </w:rPr>
            </w:pPr>
            <w:r w:rsidRPr="006568A3">
              <w:rPr>
                <w:sz w:val="20"/>
                <w:szCs w:val="20"/>
              </w:rPr>
              <w:t>37,8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FF0000"/>
                <w:sz w:val="20"/>
                <w:szCs w:val="20"/>
                <w:highlight w:val="yellow"/>
              </w:rPr>
            </w:pPr>
            <w:r w:rsidRPr="006568A3">
              <w:rPr>
                <w:sz w:val="20"/>
                <w:szCs w:val="20"/>
              </w:rPr>
              <w:t>44,2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FF0000"/>
                <w:sz w:val="20"/>
                <w:szCs w:val="20"/>
                <w:highlight w:val="yellow"/>
              </w:rPr>
            </w:pPr>
            <w:r w:rsidRPr="006568A3">
              <w:rPr>
                <w:sz w:val="20"/>
                <w:szCs w:val="20"/>
              </w:rPr>
              <w:t>32,4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0,73</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Urbano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14,7</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15,6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13,9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0,89</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Rural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FF0000"/>
                <w:sz w:val="20"/>
                <w:szCs w:val="20"/>
                <w:highlight w:val="yellow"/>
              </w:rPr>
            </w:pPr>
            <w:r w:rsidRPr="006568A3">
              <w:rPr>
                <w:sz w:val="20"/>
                <w:szCs w:val="20"/>
              </w:rPr>
              <w:t>60,6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FF0000"/>
                <w:sz w:val="20"/>
                <w:szCs w:val="20"/>
                <w:highlight w:val="yellow"/>
              </w:rPr>
            </w:pPr>
            <w:r w:rsidRPr="006568A3">
              <w:rPr>
                <w:sz w:val="20"/>
                <w:szCs w:val="20"/>
              </w:rPr>
              <w:t>71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FF0000"/>
                <w:sz w:val="20"/>
                <w:szCs w:val="20"/>
                <w:highlight w:val="yellow"/>
              </w:rPr>
            </w:pPr>
            <w:r w:rsidRPr="006568A3">
              <w:rPr>
                <w:sz w:val="20"/>
                <w:szCs w:val="20"/>
              </w:rPr>
              <w:t>52,4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olor w:val="000000"/>
                <w:sz w:val="20"/>
                <w:szCs w:val="20"/>
              </w:rPr>
              <w:t>0,74</w:t>
            </w:r>
          </w:p>
        </w:tc>
        <w:tc>
          <w:tcPr>
            <w:tcW w:w="1082" w:type="dxa"/>
            <w:vMerge/>
            <w:vAlign w:val="center"/>
          </w:tcPr>
          <w:p w:rsidR="002F0FFA" w:rsidRPr="00C90523" w:rsidRDefault="002F0FFA" w:rsidP="002F0FFA">
            <w:pPr>
              <w:spacing w:after="0" w:line="240" w:lineRule="auto"/>
              <w:jc w:val="center"/>
              <w:rPr>
                <w:sz w:val="20"/>
                <w:szCs w:val="20"/>
                <w:highlight w:val="yellow"/>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6.6. Percentagem trab. por conta própria &amp; familiares não remunerados (sobre pop. empregada)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40,7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21,7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0,53</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INE, RGPH</w:t>
            </w: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6.7. Proporção agregados familiares pobres por sexo do representante</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8A7270">
            <w:pPr>
              <w:spacing w:afterLines="60" w:after="144" w:line="240" w:lineRule="auto"/>
              <w:jc w:val="center"/>
              <w:rPr>
                <w:sz w:val="20"/>
                <w:szCs w:val="20"/>
              </w:rPr>
            </w:pPr>
            <w:r w:rsidRPr="006568A3">
              <w:rPr>
                <w:sz w:val="20"/>
                <w:szCs w:val="20"/>
              </w:rPr>
              <w:t>26,6</w:t>
            </w:r>
          </w:p>
        </w:tc>
        <w:tc>
          <w:tcPr>
            <w:tcW w:w="851" w:type="dxa"/>
            <w:shd w:val="clear" w:color="auto" w:fill="FDE9D9" w:themeFill="accent6" w:themeFillTint="33"/>
            <w:noWrap/>
            <w:vAlign w:val="center"/>
          </w:tcPr>
          <w:p w:rsidR="00A64AFA" w:rsidRDefault="006568A3" w:rsidP="008A7270">
            <w:pPr>
              <w:spacing w:afterLines="60" w:after="144" w:line="240" w:lineRule="auto"/>
              <w:jc w:val="center"/>
              <w:rPr>
                <w:sz w:val="20"/>
                <w:szCs w:val="20"/>
              </w:rPr>
            </w:pPr>
            <w:r w:rsidRPr="006568A3">
              <w:rPr>
                <w:sz w:val="20"/>
                <w:szCs w:val="20"/>
              </w:rPr>
              <w:t>33</w:t>
            </w:r>
          </w:p>
        </w:tc>
        <w:tc>
          <w:tcPr>
            <w:tcW w:w="875" w:type="dxa"/>
            <w:shd w:val="clear" w:color="auto" w:fill="FDE9D9" w:themeFill="accent6" w:themeFillTint="33"/>
            <w:noWrap/>
            <w:vAlign w:val="center"/>
          </w:tcPr>
          <w:p w:rsidR="00A64AFA" w:rsidRDefault="006568A3" w:rsidP="008A7270">
            <w:pPr>
              <w:spacing w:afterLines="60" w:after="144" w:line="240" w:lineRule="auto"/>
              <w:jc w:val="center"/>
              <w:rPr>
                <w:sz w:val="20"/>
                <w:szCs w:val="20"/>
              </w:rPr>
            </w:pPr>
            <w:r w:rsidRPr="006568A3">
              <w:rPr>
                <w:sz w:val="20"/>
                <w:szCs w:val="20"/>
              </w:rPr>
              <w:t>21,3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0,65</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2007</w:t>
            </w:r>
          </w:p>
        </w:tc>
        <w:tc>
          <w:tcPr>
            <w:tcW w:w="1134" w:type="dxa"/>
            <w:vAlign w:val="center"/>
          </w:tcPr>
          <w:p w:rsidR="002F0FFA" w:rsidRPr="00C90523" w:rsidRDefault="006568A3" w:rsidP="002F0FFA">
            <w:pPr>
              <w:spacing w:after="0" w:line="240" w:lineRule="auto"/>
              <w:jc w:val="center"/>
              <w:rPr>
                <w:sz w:val="20"/>
                <w:szCs w:val="20"/>
                <w:highlight w:val="yellow"/>
              </w:rPr>
            </w:pPr>
            <w:r w:rsidRPr="006568A3">
              <w:rPr>
                <w:sz w:val="20"/>
                <w:szCs w:val="20"/>
              </w:rPr>
              <w:t>INE, QUIBB</w:t>
            </w: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6.8. Proporção agregados familiares, por sexo do representante, que:</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 IMC</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 xml:space="preserve">É proprietário (ou co-prop.) do alojamento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66,8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68,4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65,6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1,04</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 xml:space="preserve">Tem acesso à rede pública - principal meio de abastecimento água </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58,6</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58,3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58,7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0,99</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Cozinha com gás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71,3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68,4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73,6</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0,93</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Cozinha c/ lenha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25,1</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30,2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21,1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0,70</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Não tem cozinha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19,2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21,5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17,3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olor w:val="000000"/>
                <w:sz w:val="20"/>
                <w:szCs w:val="20"/>
              </w:rPr>
            </w:pPr>
            <w:r w:rsidRPr="006568A3">
              <w:rPr>
                <w:rFonts w:ascii="Calibri" w:hAnsi="Calibri" w:cs="Arial"/>
                <w:color w:val="000000"/>
                <w:sz w:val="20"/>
                <w:szCs w:val="20"/>
              </w:rPr>
              <w:t>0,80</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Tem casa de banho c/ sanita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72,4</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74,4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69,9</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1,06</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Sem sistema de evacuação de águas residuais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27,3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29,9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25,3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0,85</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Usa electricidade - principal forma de iluminação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86,9</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85,4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0,97</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Tem computador em casa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30,2</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27,4</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32,4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0,85</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Tem internet em casa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22,8</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20,2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24,8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0,81</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highlight w:val="yellow"/>
              </w:rPr>
            </w:pPr>
          </w:p>
        </w:tc>
      </w:tr>
    </w:tbl>
    <w:p w:rsidR="002F0FFA" w:rsidRPr="00C90523" w:rsidRDefault="002F0FFA" w:rsidP="002F0FFA">
      <w:pPr>
        <w:shd w:val="clear" w:color="auto" w:fill="FFFFFF"/>
        <w:spacing w:after="0" w:line="240" w:lineRule="auto"/>
        <w:rPr>
          <w:rFonts w:eastAsia="Times New Roman" w:cs="Helvetica"/>
          <w:b/>
          <w:color w:val="FF0000"/>
        </w:rPr>
      </w:pPr>
    </w:p>
    <w:p w:rsidR="002F0FFA" w:rsidRPr="00C90523" w:rsidRDefault="002F0FFA" w:rsidP="002F0FFA">
      <w:pPr>
        <w:shd w:val="clear" w:color="auto" w:fill="FFFFFF"/>
        <w:spacing w:after="0" w:line="240" w:lineRule="auto"/>
        <w:rPr>
          <w:rFonts w:eastAsia="Times New Roman" w:cs="Helvetica"/>
          <w:b/>
          <w:color w:val="FF0000"/>
        </w:rPr>
      </w:pPr>
    </w:p>
    <w:p w:rsidR="002F0FFA" w:rsidRPr="00C90523" w:rsidRDefault="002F0FFA" w:rsidP="002F0FFA">
      <w:pPr>
        <w:shd w:val="clear" w:color="auto" w:fill="FFFFFF"/>
        <w:spacing w:after="0" w:line="240" w:lineRule="auto"/>
        <w:rPr>
          <w:rFonts w:eastAsia="Times New Roman" w:cs="Helvetica"/>
          <w:b/>
        </w:rPr>
      </w:pPr>
    </w:p>
    <w:p w:rsidR="002F0FFA" w:rsidRPr="00C90523" w:rsidRDefault="006568A3" w:rsidP="002F0FFA">
      <w:pPr>
        <w:spacing w:after="0" w:line="240" w:lineRule="auto"/>
        <w:rPr>
          <w:rFonts w:eastAsia="Times New Roman" w:cs="Helvetica"/>
          <w:b/>
        </w:rPr>
      </w:pPr>
      <w:r w:rsidRPr="006568A3">
        <w:rPr>
          <w:rFonts w:eastAsia="Times New Roman" w:cs="Helvetica"/>
          <w:b/>
        </w:rPr>
        <w:br w:type="page"/>
      </w:r>
    </w:p>
    <w:p w:rsidR="002F0FFA" w:rsidRPr="00C90523" w:rsidRDefault="006568A3" w:rsidP="002F0FFA">
      <w:pPr>
        <w:shd w:val="clear" w:color="auto" w:fill="FFFFFF"/>
        <w:spacing w:after="0" w:line="240" w:lineRule="auto"/>
        <w:rPr>
          <w:rFonts w:eastAsia="Times New Roman" w:cs="Helvetica"/>
          <w:b/>
          <w:i/>
          <w:sz w:val="24"/>
          <w:szCs w:val="24"/>
        </w:rPr>
      </w:pPr>
      <w:r w:rsidRPr="006568A3">
        <w:rPr>
          <w:rFonts w:eastAsia="Times New Roman" w:cs="Helvetica"/>
          <w:b/>
          <w:i/>
          <w:sz w:val="24"/>
          <w:szCs w:val="24"/>
        </w:rPr>
        <w:t>Quadro 7 – Indicadores da economia reprodutiva</w:t>
      </w:r>
    </w:p>
    <w:tbl>
      <w:tblPr>
        <w:tblW w:w="10682" w:type="dxa"/>
        <w:tblLayout w:type="fixed"/>
        <w:tblLook w:val="04A0" w:firstRow="1" w:lastRow="0" w:firstColumn="1" w:lastColumn="0" w:noHBand="0" w:noVBand="1"/>
      </w:tblPr>
      <w:tblGrid>
        <w:gridCol w:w="2125"/>
        <w:gridCol w:w="950"/>
        <w:gridCol w:w="961"/>
        <w:gridCol w:w="975"/>
        <w:gridCol w:w="767"/>
        <w:gridCol w:w="851"/>
        <w:gridCol w:w="875"/>
        <w:gridCol w:w="962"/>
        <w:gridCol w:w="1082"/>
        <w:gridCol w:w="1134"/>
      </w:tblGrid>
      <w:tr w:rsidR="002F0FFA" w:rsidRPr="00C90523" w:rsidTr="002F0FFA">
        <w:trPr>
          <w:trHeight w:val="300"/>
        </w:trPr>
        <w:tc>
          <w:tcPr>
            <w:tcW w:w="2125"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2F0FFA">
        <w:trPr>
          <w:trHeight w:val="480"/>
        </w:trPr>
        <w:tc>
          <w:tcPr>
            <w:tcW w:w="2125"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2F0FFA">
        <w:trPr>
          <w:trHeight w:val="276"/>
        </w:trPr>
        <w:tc>
          <w:tcPr>
            <w:tcW w:w="2125" w:type="dxa"/>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7.1. Proporção da população para quem as responsabilidades familiares são a principal limitação na entrada mercado de trabalho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15,3</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22,5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rFonts w:cs="Arial"/>
                <w:color w:val="000000"/>
                <w:sz w:val="20"/>
                <w:szCs w:val="20"/>
              </w:rPr>
              <w:t>4,1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0,18</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INE,</w:t>
            </w:r>
          </w:p>
          <w:p w:rsidR="002F0FFA" w:rsidRPr="00C90523" w:rsidRDefault="006568A3" w:rsidP="002F0FFA">
            <w:pPr>
              <w:spacing w:after="0" w:line="240" w:lineRule="auto"/>
              <w:jc w:val="center"/>
              <w:rPr>
                <w:sz w:val="20"/>
                <w:szCs w:val="20"/>
              </w:rPr>
            </w:pPr>
            <w:r w:rsidRPr="006568A3">
              <w:rPr>
                <w:sz w:val="20"/>
                <w:szCs w:val="20"/>
              </w:rPr>
              <w:t>IMC</w:t>
            </w: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jc w:val="both"/>
              <w:rPr>
                <w:sz w:val="20"/>
                <w:szCs w:val="20"/>
              </w:rPr>
            </w:pPr>
            <w:r w:rsidRPr="006568A3">
              <w:rPr>
                <w:sz w:val="20"/>
                <w:szCs w:val="20"/>
              </w:rPr>
              <w:t>7.2. Tempo médio semanal (</w:t>
            </w:r>
            <w:r w:rsidRPr="006568A3">
              <w:rPr>
                <w:b/>
                <w:i/>
                <w:sz w:val="20"/>
                <w:szCs w:val="20"/>
              </w:rPr>
              <w:t>horas : minutos</w:t>
            </w:r>
            <w:r w:rsidRPr="006568A3">
              <w:rPr>
                <w:sz w:val="20"/>
                <w:szCs w:val="20"/>
              </w:rPr>
              <w:t>) dedicado ao trabalho não remunerado por tipo de actividade</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w:t>
            </w:r>
          </w:p>
          <w:p w:rsidR="002F0FFA" w:rsidRPr="00C90523" w:rsidRDefault="006568A3" w:rsidP="002F0FFA">
            <w:pPr>
              <w:spacing w:after="0" w:line="240" w:lineRule="auto"/>
              <w:jc w:val="center"/>
              <w:rPr>
                <w:sz w:val="20"/>
                <w:szCs w:val="20"/>
              </w:rPr>
            </w:pPr>
            <w:r w:rsidRPr="006568A3">
              <w:rPr>
                <w:sz w:val="20"/>
                <w:szCs w:val="20"/>
              </w:rPr>
              <w:t>IMC, Módulo sobre Uso do Tempo</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sz w:val="20"/>
                <w:szCs w:val="20"/>
              </w:rPr>
              <w:t>Trabalho não remunerado geral</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52:09</w:t>
            </w:r>
          </w:p>
        </w:tc>
        <w:tc>
          <w:tcPr>
            <w:tcW w:w="961"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62:52</w:t>
            </w:r>
          </w:p>
        </w:tc>
        <w:tc>
          <w:tcPr>
            <w:tcW w:w="975" w:type="dxa"/>
            <w:shd w:val="clear" w:color="auto" w:fill="FFFFFF" w:themeFill="background1"/>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38:10</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Trabalho doméstico</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49:35</w:t>
            </w:r>
          </w:p>
        </w:tc>
        <w:tc>
          <w:tcPr>
            <w:tcW w:w="961"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59:40</w:t>
            </w:r>
          </w:p>
        </w:tc>
        <w:tc>
          <w:tcPr>
            <w:tcW w:w="975" w:type="dxa"/>
            <w:shd w:val="clear" w:color="auto" w:fill="FFFFFF" w:themeFill="background1"/>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36:02</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Cuidado a dependentes</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17:23</w:t>
            </w:r>
          </w:p>
        </w:tc>
        <w:tc>
          <w:tcPr>
            <w:tcW w:w="961"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19:01</w:t>
            </w:r>
          </w:p>
        </w:tc>
        <w:tc>
          <w:tcPr>
            <w:tcW w:w="975" w:type="dxa"/>
            <w:shd w:val="clear" w:color="auto" w:fill="FFFFFF" w:themeFill="background1"/>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12:03</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Apoio a outros agregados</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19:07</w:t>
            </w:r>
          </w:p>
        </w:tc>
        <w:tc>
          <w:tcPr>
            <w:tcW w:w="961"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19:42</w:t>
            </w:r>
          </w:p>
        </w:tc>
        <w:tc>
          <w:tcPr>
            <w:tcW w:w="975" w:type="dxa"/>
            <w:shd w:val="clear" w:color="auto" w:fill="FFFFFF" w:themeFill="background1"/>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18:19</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Trabalho voluntário</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18:43</w:t>
            </w:r>
          </w:p>
        </w:tc>
        <w:tc>
          <w:tcPr>
            <w:tcW w:w="961"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20:03</w:t>
            </w:r>
          </w:p>
        </w:tc>
        <w:tc>
          <w:tcPr>
            <w:tcW w:w="975" w:type="dxa"/>
            <w:shd w:val="clear" w:color="auto" w:fill="FFFFFF" w:themeFill="background1"/>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17:41</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jc w:val="center"/>
              <w:rPr>
                <w:rFonts w:cs="Arial"/>
                <w:color w:val="000000"/>
                <w:sz w:val="20"/>
                <w:szCs w:val="20"/>
              </w:rPr>
            </w:pPr>
            <w:r w:rsidRPr="006568A3">
              <w:rPr>
                <w:sz w:val="20"/>
                <w:szCs w:val="20"/>
              </w:rPr>
              <w:t>7.3. Tempo médio semanal dedicado ao trabalho não remunerado por nível de conforto do agregado</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w:t>
            </w:r>
          </w:p>
          <w:p w:rsidR="002F0FFA" w:rsidRPr="00C90523" w:rsidRDefault="006568A3" w:rsidP="002F0FFA">
            <w:pPr>
              <w:spacing w:after="0" w:line="240" w:lineRule="auto"/>
              <w:jc w:val="center"/>
              <w:rPr>
                <w:sz w:val="20"/>
                <w:szCs w:val="20"/>
              </w:rPr>
            </w:pPr>
            <w:r w:rsidRPr="006568A3">
              <w:rPr>
                <w:sz w:val="20"/>
                <w:szCs w:val="20"/>
              </w:rPr>
              <w:t>IMC, Módulo sobre Uso do Tempo</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Muito Baixo</w:t>
            </w:r>
          </w:p>
        </w:tc>
        <w:tc>
          <w:tcPr>
            <w:tcW w:w="950" w:type="dxa"/>
            <w:noWrap/>
            <w:vAlign w:val="center"/>
          </w:tcPr>
          <w:p w:rsidR="002F0FFA" w:rsidRPr="00C90523" w:rsidRDefault="002F0FFA" w:rsidP="002F0FFA">
            <w:pPr>
              <w:shd w:val="clear" w:color="auto" w:fill="FFFFFF"/>
              <w:spacing w:after="0" w:line="240" w:lineRule="auto"/>
              <w:jc w:val="center"/>
              <w:rPr>
                <w:sz w:val="20"/>
                <w:szCs w:val="20"/>
              </w:rPr>
            </w:pP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75:02</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43:38</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Baixo</w:t>
            </w:r>
          </w:p>
        </w:tc>
        <w:tc>
          <w:tcPr>
            <w:tcW w:w="950" w:type="dxa"/>
            <w:noWrap/>
            <w:vAlign w:val="center"/>
          </w:tcPr>
          <w:p w:rsidR="002F0FFA" w:rsidRPr="00C90523" w:rsidRDefault="002F0FFA" w:rsidP="002F0FFA">
            <w:pPr>
              <w:shd w:val="clear" w:color="auto" w:fill="FFFFFF"/>
              <w:spacing w:after="0" w:line="240" w:lineRule="auto"/>
              <w:jc w:val="center"/>
              <w:rPr>
                <w:sz w:val="20"/>
                <w:szCs w:val="20"/>
              </w:rPr>
            </w:pP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67:37</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41:30</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 xml:space="preserve">Médio </w:t>
            </w:r>
          </w:p>
        </w:tc>
        <w:tc>
          <w:tcPr>
            <w:tcW w:w="950" w:type="dxa"/>
            <w:noWrap/>
            <w:vAlign w:val="center"/>
          </w:tcPr>
          <w:p w:rsidR="002F0FFA" w:rsidRPr="00C90523" w:rsidRDefault="002F0FFA" w:rsidP="002F0FFA">
            <w:pPr>
              <w:shd w:val="clear" w:color="auto" w:fill="FFFFFF"/>
              <w:spacing w:after="0" w:line="240" w:lineRule="auto"/>
              <w:jc w:val="center"/>
              <w:rPr>
                <w:sz w:val="20"/>
                <w:szCs w:val="20"/>
              </w:rPr>
            </w:pP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64:07</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38:40</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Alto</w:t>
            </w:r>
          </w:p>
        </w:tc>
        <w:tc>
          <w:tcPr>
            <w:tcW w:w="950" w:type="dxa"/>
            <w:noWrap/>
            <w:vAlign w:val="center"/>
          </w:tcPr>
          <w:p w:rsidR="002F0FFA" w:rsidRPr="00C90523" w:rsidRDefault="002F0FFA" w:rsidP="002F0FFA">
            <w:pPr>
              <w:shd w:val="clear" w:color="auto" w:fill="FFFFFF"/>
              <w:spacing w:after="0" w:line="240" w:lineRule="auto"/>
              <w:jc w:val="center"/>
              <w:rPr>
                <w:sz w:val="20"/>
                <w:szCs w:val="20"/>
              </w:rPr>
            </w:pP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60:08</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37:52</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Muito Alto</w:t>
            </w:r>
          </w:p>
        </w:tc>
        <w:tc>
          <w:tcPr>
            <w:tcW w:w="950" w:type="dxa"/>
            <w:noWrap/>
            <w:vAlign w:val="center"/>
          </w:tcPr>
          <w:p w:rsidR="002F0FFA" w:rsidRPr="00C90523" w:rsidRDefault="002F0FFA" w:rsidP="002F0FFA">
            <w:pPr>
              <w:shd w:val="clear" w:color="auto" w:fill="FFFFFF"/>
              <w:spacing w:after="0" w:line="240" w:lineRule="auto"/>
              <w:jc w:val="center"/>
              <w:rPr>
                <w:sz w:val="20"/>
                <w:szCs w:val="20"/>
              </w:rPr>
            </w:pP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57:38</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31:51</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rFonts w:cs="Arial"/>
                <w:color w:val="000000"/>
                <w:sz w:val="20"/>
                <w:szCs w:val="20"/>
              </w:rPr>
            </w:pPr>
            <w:r w:rsidRPr="006568A3">
              <w:rPr>
                <w:sz w:val="20"/>
                <w:szCs w:val="20"/>
              </w:rPr>
              <w:t>7.4. Tempo médio semanal dedicado a actividades domésticas/cuidados segundo o Nº crianças no agregado</w:t>
            </w:r>
          </w:p>
        </w:tc>
        <w:tc>
          <w:tcPr>
            <w:tcW w:w="1082" w:type="dxa"/>
            <w:vMerge w:val="restart"/>
            <w:vAlign w:val="center"/>
          </w:tcPr>
          <w:p w:rsidR="002F0FFA" w:rsidRPr="00C90523" w:rsidRDefault="002F0FFA" w:rsidP="002F0FFA">
            <w:pPr>
              <w:spacing w:after="0" w:line="240" w:lineRule="auto"/>
              <w:jc w:val="center"/>
              <w:rPr>
                <w:sz w:val="20"/>
                <w:szCs w:val="20"/>
              </w:rPr>
            </w:pP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w:t>
            </w:r>
          </w:p>
          <w:p w:rsidR="002F0FFA" w:rsidRPr="00C90523" w:rsidRDefault="006568A3" w:rsidP="002F0FFA">
            <w:pPr>
              <w:spacing w:after="0" w:line="240" w:lineRule="auto"/>
              <w:jc w:val="center"/>
              <w:rPr>
                <w:sz w:val="20"/>
                <w:szCs w:val="20"/>
              </w:rPr>
            </w:pPr>
            <w:r w:rsidRPr="006568A3">
              <w:rPr>
                <w:sz w:val="20"/>
                <w:szCs w:val="20"/>
              </w:rPr>
              <w:t>IMC, Módulo sobre Uso do Tempo</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bCs/>
                <w:color w:val="000000"/>
                <w:sz w:val="20"/>
                <w:szCs w:val="20"/>
              </w:rPr>
            </w:pPr>
            <w:r w:rsidRPr="006568A3">
              <w:rPr>
                <w:rFonts w:cs="Arial"/>
                <w:bCs/>
                <w:color w:val="000000"/>
                <w:sz w:val="20"/>
                <w:szCs w:val="20"/>
              </w:rPr>
              <w:t>1 criança</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26:22</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24:09</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2 crianças</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34:46</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25:19</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rFonts w:cs="Arial"/>
                <w:color w:val="000000"/>
                <w:sz w:val="20"/>
                <w:szCs w:val="20"/>
              </w:rPr>
            </w:pPr>
            <w:r w:rsidRPr="006568A3">
              <w:rPr>
                <w:rFonts w:cs="Arial"/>
                <w:color w:val="000000"/>
                <w:sz w:val="20"/>
                <w:szCs w:val="20"/>
              </w:rPr>
              <w:t>3 ou mais crianças</w:t>
            </w:r>
          </w:p>
        </w:tc>
        <w:tc>
          <w:tcPr>
            <w:tcW w:w="950" w:type="dxa"/>
            <w:noWrap/>
            <w:vAlign w:val="center"/>
          </w:tcPr>
          <w:p w:rsidR="002F0FFA" w:rsidRPr="00C90523" w:rsidRDefault="006568A3" w:rsidP="002F0FFA">
            <w:pPr>
              <w:shd w:val="clear" w:color="auto" w:fill="FFFFFF"/>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38:16</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25:47</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bl>
    <w:p w:rsidR="002F0FFA" w:rsidRPr="00C90523" w:rsidRDefault="002F0FFA" w:rsidP="002F0FFA">
      <w:pPr>
        <w:shd w:val="clear" w:color="auto" w:fill="FFFFFF"/>
        <w:spacing w:after="0"/>
      </w:pPr>
    </w:p>
    <w:p w:rsidR="002F0FFA" w:rsidRPr="00C90523" w:rsidRDefault="002F0FFA" w:rsidP="002F0FFA">
      <w:pPr>
        <w:shd w:val="clear" w:color="auto" w:fill="FFFFFF"/>
        <w:spacing w:after="0"/>
      </w:pPr>
    </w:p>
    <w:p w:rsidR="002F0FFA" w:rsidRPr="00C90523" w:rsidRDefault="006568A3" w:rsidP="002F0FFA">
      <w:pPr>
        <w:spacing w:after="0" w:line="240" w:lineRule="auto"/>
        <w:rPr>
          <w:rFonts w:eastAsia="Times New Roman" w:cs="Helvetica"/>
          <w:b/>
          <w:color w:val="000000"/>
        </w:rPr>
      </w:pPr>
      <w:r w:rsidRPr="006568A3">
        <w:rPr>
          <w:rFonts w:eastAsia="Times New Roman" w:cs="Helvetica"/>
          <w:b/>
          <w:color w:val="000000"/>
        </w:rPr>
        <w:br w:type="page"/>
      </w:r>
    </w:p>
    <w:p w:rsidR="002F0FFA" w:rsidRPr="00C90523" w:rsidRDefault="006568A3" w:rsidP="002F0FFA">
      <w:pPr>
        <w:shd w:val="clear" w:color="auto" w:fill="FFFFFF"/>
        <w:spacing w:after="0" w:line="240" w:lineRule="auto"/>
        <w:rPr>
          <w:rFonts w:eastAsia="Times New Roman" w:cs="Helvetica"/>
          <w:b/>
          <w:i/>
          <w:color w:val="000000"/>
          <w:sz w:val="24"/>
          <w:szCs w:val="24"/>
        </w:rPr>
      </w:pPr>
      <w:r w:rsidRPr="006568A3">
        <w:rPr>
          <w:rFonts w:eastAsia="Times New Roman" w:cs="Helvetica"/>
          <w:b/>
          <w:i/>
          <w:color w:val="000000"/>
          <w:sz w:val="24"/>
          <w:szCs w:val="24"/>
        </w:rPr>
        <w:t>Quadro 8 – Indicadores de Poder e Tomada de Decisão</w:t>
      </w:r>
    </w:p>
    <w:tbl>
      <w:tblPr>
        <w:tblW w:w="10682" w:type="dxa"/>
        <w:tblLayout w:type="fixed"/>
        <w:tblLook w:val="04A0" w:firstRow="1" w:lastRow="0" w:firstColumn="1" w:lastColumn="0" w:noHBand="0" w:noVBand="1"/>
      </w:tblPr>
      <w:tblGrid>
        <w:gridCol w:w="2125"/>
        <w:gridCol w:w="950"/>
        <w:gridCol w:w="961"/>
        <w:gridCol w:w="975"/>
        <w:gridCol w:w="767"/>
        <w:gridCol w:w="851"/>
        <w:gridCol w:w="875"/>
        <w:gridCol w:w="962"/>
        <w:gridCol w:w="1082"/>
        <w:gridCol w:w="1134"/>
      </w:tblGrid>
      <w:tr w:rsidR="002F0FFA" w:rsidRPr="00C90523" w:rsidTr="002F0FFA">
        <w:trPr>
          <w:trHeight w:val="300"/>
        </w:trPr>
        <w:tc>
          <w:tcPr>
            <w:tcW w:w="2125" w:type="dxa"/>
            <w:vMerge w:val="restart"/>
            <w:shd w:val="clear" w:color="auto" w:fill="E36C0A" w:themeFill="accent6" w:themeFillShade="BF"/>
            <w:vAlign w:val="center"/>
            <w:hideMark/>
          </w:tcPr>
          <w:p w:rsidR="002F0FFA" w:rsidRPr="00C90523" w:rsidRDefault="006568A3" w:rsidP="002F0FFA">
            <w:pPr>
              <w:spacing w:after="0" w:line="240" w:lineRule="auto"/>
              <w:jc w:val="center"/>
              <w:rPr>
                <w:b/>
                <w:bCs/>
                <w:sz w:val="20"/>
                <w:szCs w:val="20"/>
              </w:rPr>
            </w:pPr>
            <w:r w:rsidRPr="006568A3">
              <w:rPr>
                <w:b/>
                <w:bCs/>
                <w:sz w:val="20"/>
                <w:szCs w:val="20"/>
              </w:rPr>
              <w:t>Indicador</w:t>
            </w:r>
          </w:p>
        </w:tc>
        <w:tc>
          <w:tcPr>
            <w:tcW w:w="2886" w:type="dxa"/>
            <w:gridSpan w:val="3"/>
            <w:shd w:val="clear" w:color="auto" w:fill="F79646" w:themeFill="accent6"/>
            <w:vAlign w:val="center"/>
            <w:hideMark/>
          </w:tcPr>
          <w:p w:rsidR="002F0FFA" w:rsidRPr="00C90523" w:rsidRDefault="006568A3" w:rsidP="002F0FFA">
            <w:pPr>
              <w:spacing w:after="0" w:line="240" w:lineRule="auto"/>
              <w:jc w:val="center"/>
              <w:rPr>
                <w:b/>
                <w:bCs/>
                <w:sz w:val="20"/>
                <w:szCs w:val="20"/>
              </w:rPr>
            </w:pPr>
            <w:r w:rsidRPr="006568A3">
              <w:rPr>
                <w:b/>
                <w:bCs/>
                <w:sz w:val="20"/>
                <w:szCs w:val="20"/>
              </w:rPr>
              <w:t>Efetivos</w:t>
            </w:r>
          </w:p>
        </w:tc>
        <w:tc>
          <w:tcPr>
            <w:tcW w:w="2493" w:type="dxa"/>
            <w:gridSpan w:val="3"/>
            <w:shd w:val="clear" w:color="auto" w:fill="FDE9D9" w:themeFill="accent6" w:themeFillTint="33"/>
            <w:vAlign w:val="center"/>
          </w:tcPr>
          <w:p w:rsidR="002F0FFA" w:rsidRPr="00C90523" w:rsidRDefault="006568A3" w:rsidP="002F0FFA">
            <w:pPr>
              <w:spacing w:after="0" w:line="240" w:lineRule="auto"/>
              <w:jc w:val="center"/>
              <w:rPr>
                <w:b/>
                <w:bCs/>
                <w:sz w:val="20"/>
                <w:szCs w:val="20"/>
              </w:rPr>
            </w:pPr>
            <w:r w:rsidRPr="006568A3">
              <w:rPr>
                <w:b/>
                <w:bCs/>
                <w:sz w:val="20"/>
                <w:szCs w:val="20"/>
              </w:rPr>
              <w:t>Percentagem</w:t>
            </w:r>
          </w:p>
        </w:tc>
        <w:tc>
          <w:tcPr>
            <w:tcW w:w="962" w:type="dxa"/>
            <w:vMerge w:val="restart"/>
            <w:shd w:val="clear" w:color="auto" w:fill="FABF8F" w:themeFill="accent6" w:themeFillTint="99"/>
            <w:vAlign w:val="center"/>
          </w:tcPr>
          <w:p w:rsidR="002F0FFA" w:rsidRPr="00C90523" w:rsidRDefault="006568A3" w:rsidP="002F0FFA">
            <w:pPr>
              <w:spacing w:after="0" w:line="240" w:lineRule="auto"/>
              <w:jc w:val="center"/>
              <w:rPr>
                <w:b/>
                <w:bCs/>
                <w:sz w:val="20"/>
                <w:szCs w:val="20"/>
              </w:rPr>
            </w:pPr>
            <w:r w:rsidRPr="006568A3">
              <w:rPr>
                <w:b/>
                <w:bCs/>
                <w:sz w:val="20"/>
                <w:szCs w:val="20"/>
              </w:rPr>
              <w:t>Índice de paridade</w:t>
            </w:r>
          </w:p>
        </w:tc>
        <w:tc>
          <w:tcPr>
            <w:tcW w:w="1082"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Ano de referência</w:t>
            </w:r>
          </w:p>
        </w:tc>
        <w:tc>
          <w:tcPr>
            <w:tcW w:w="1134" w:type="dxa"/>
            <w:vMerge w:val="restart"/>
            <w:shd w:val="clear" w:color="auto" w:fill="E36C0A" w:themeFill="accent6" w:themeFillShade="BF"/>
            <w:vAlign w:val="center"/>
          </w:tcPr>
          <w:p w:rsidR="002F0FFA" w:rsidRPr="00C90523" w:rsidRDefault="006568A3" w:rsidP="002F0FFA">
            <w:pPr>
              <w:spacing w:after="0" w:line="240" w:lineRule="auto"/>
              <w:jc w:val="center"/>
              <w:rPr>
                <w:b/>
                <w:bCs/>
                <w:sz w:val="20"/>
                <w:szCs w:val="20"/>
              </w:rPr>
            </w:pPr>
            <w:r w:rsidRPr="006568A3">
              <w:rPr>
                <w:b/>
                <w:bCs/>
                <w:sz w:val="20"/>
                <w:szCs w:val="20"/>
              </w:rPr>
              <w:t>Fonte</w:t>
            </w:r>
          </w:p>
        </w:tc>
      </w:tr>
      <w:tr w:rsidR="002F0FFA" w:rsidRPr="00C90523" w:rsidTr="002F0FFA">
        <w:trPr>
          <w:trHeight w:val="480"/>
        </w:trPr>
        <w:tc>
          <w:tcPr>
            <w:tcW w:w="2125" w:type="dxa"/>
            <w:vMerge/>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p>
        </w:tc>
        <w:tc>
          <w:tcPr>
            <w:tcW w:w="950"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961"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975" w:type="dxa"/>
            <w:shd w:val="clear" w:color="auto" w:fill="F79646" w:themeFill="accent6"/>
            <w:vAlign w:val="center"/>
            <w:hideMark/>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767" w:type="dxa"/>
            <w:shd w:val="clear" w:color="auto" w:fill="FDE9D9" w:themeFill="accent6" w:themeFillTint="33"/>
            <w:vAlign w:val="center"/>
            <w:hideMark/>
          </w:tcPr>
          <w:p w:rsidR="002F0FFA" w:rsidRPr="00C90523" w:rsidRDefault="006568A3" w:rsidP="002F0FFA">
            <w:pPr>
              <w:spacing w:after="0" w:line="240" w:lineRule="auto"/>
              <w:jc w:val="center"/>
              <w:rPr>
                <w:b/>
                <w:bCs/>
                <w:sz w:val="16"/>
                <w:szCs w:val="16"/>
              </w:rPr>
            </w:pPr>
            <w:r w:rsidRPr="006568A3">
              <w:rPr>
                <w:b/>
                <w:bCs/>
                <w:sz w:val="16"/>
                <w:szCs w:val="16"/>
              </w:rPr>
              <w:t>Total</w:t>
            </w:r>
          </w:p>
        </w:tc>
        <w:tc>
          <w:tcPr>
            <w:tcW w:w="851"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Mulheres</w:t>
            </w:r>
          </w:p>
        </w:tc>
        <w:tc>
          <w:tcPr>
            <w:tcW w:w="875" w:type="dxa"/>
            <w:shd w:val="clear" w:color="auto" w:fill="FDE9D9" w:themeFill="accent6" w:themeFillTint="33"/>
            <w:vAlign w:val="center"/>
          </w:tcPr>
          <w:p w:rsidR="002F0FFA" w:rsidRPr="00C90523" w:rsidRDefault="006568A3" w:rsidP="002F0FFA">
            <w:pPr>
              <w:spacing w:after="0" w:line="240" w:lineRule="auto"/>
              <w:jc w:val="center"/>
              <w:rPr>
                <w:b/>
                <w:bCs/>
                <w:sz w:val="16"/>
                <w:szCs w:val="16"/>
              </w:rPr>
            </w:pPr>
            <w:r w:rsidRPr="006568A3">
              <w:rPr>
                <w:b/>
                <w:bCs/>
                <w:sz w:val="16"/>
                <w:szCs w:val="16"/>
              </w:rPr>
              <w:t>Homens</w:t>
            </w:r>
          </w:p>
        </w:tc>
        <w:tc>
          <w:tcPr>
            <w:tcW w:w="962" w:type="dxa"/>
            <w:vMerge/>
            <w:shd w:val="clear" w:color="auto" w:fill="FABF8F" w:themeFill="accent6" w:themeFillTint="99"/>
            <w:vAlign w:val="center"/>
          </w:tcPr>
          <w:p w:rsidR="002F0FFA" w:rsidRPr="00C90523" w:rsidRDefault="002F0FFA" w:rsidP="002F0FFA">
            <w:pPr>
              <w:spacing w:after="0" w:line="240" w:lineRule="auto"/>
              <w:jc w:val="center"/>
              <w:rPr>
                <w:b/>
                <w:bCs/>
                <w:sz w:val="20"/>
                <w:szCs w:val="20"/>
              </w:rPr>
            </w:pPr>
          </w:p>
        </w:tc>
        <w:tc>
          <w:tcPr>
            <w:tcW w:w="1082"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c>
          <w:tcPr>
            <w:tcW w:w="1134" w:type="dxa"/>
            <w:vMerge/>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p>
        </w:tc>
      </w:tr>
      <w:tr w:rsidR="002F0FFA" w:rsidRPr="00C90523" w:rsidTr="002F0FFA">
        <w:trPr>
          <w:trHeight w:val="276"/>
        </w:trPr>
        <w:tc>
          <w:tcPr>
            <w:tcW w:w="8466" w:type="dxa"/>
            <w:gridSpan w:val="8"/>
            <w:shd w:val="clear" w:color="auto" w:fill="D9D9D9" w:themeFill="background1" w:themeFillShade="D9"/>
            <w:noWrap/>
            <w:vAlign w:val="center"/>
          </w:tcPr>
          <w:p w:rsidR="002F0FFA" w:rsidRPr="00C90523" w:rsidRDefault="006568A3" w:rsidP="002F0FFA">
            <w:pPr>
              <w:spacing w:after="0" w:line="240" w:lineRule="auto"/>
              <w:rPr>
                <w:rFonts w:cs="Arial"/>
                <w:color w:val="000000"/>
                <w:sz w:val="20"/>
                <w:szCs w:val="20"/>
              </w:rPr>
            </w:pPr>
            <w:r w:rsidRPr="006568A3">
              <w:rPr>
                <w:sz w:val="20"/>
                <w:szCs w:val="20"/>
              </w:rPr>
              <w:t>5.1. Participação das mulheres e homens na tomada de decisão</w:t>
            </w:r>
          </w:p>
        </w:tc>
        <w:tc>
          <w:tcPr>
            <w:tcW w:w="1082" w:type="dxa"/>
            <w:vMerge w:val="restart"/>
            <w:vAlign w:val="bottom"/>
          </w:tcPr>
          <w:p w:rsidR="002F0FFA" w:rsidRPr="00C90523" w:rsidRDefault="006568A3" w:rsidP="002F0FFA">
            <w:pPr>
              <w:spacing w:after="0" w:line="240" w:lineRule="auto"/>
              <w:jc w:val="center"/>
              <w:rPr>
                <w:sz w:val="20"/>
                <w:szCs w:val="20"/>
              </w:rPr>
            </w:pPr>
            <w:r w:rsidRPr="006568A3">
              <w:rPr>
                <w:sz w:val="20"/>
                <w:szCs w:val="20"/>
              </w:rPr>
              <w:t>2014</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Fontes várias (Página do Governo, Boletins Oficiais, Ministério da Justiça, Partidos Políticos)</w:t>
            </w: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Executivo (ministros/as)</w:t>
            </w:r>
          </w:p>
        </w:tc>
        <w:tc>
          <w:tcPr>
            <w:tcW w:w="950" w:type="dxa"/>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17</w:t>
            </w:r>
          </w:p>
        </w:tc>
        <w:tc>
          <w:tcPr>
            <w:tcW w:w="961" w:type="dxa"/>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9</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sz w:val="20"/>
                <w:szCs w:val="20"/>
              </w:rPr>
            </w:pPr>
            <w:r w:rsidRPr="006568A3">
              <w:rPr>
                <w:rFonts w:cs="Arial"/>
                <w:sz w:val="20"/>
                <w:szCs w:val="20"/>
              </w:rPr>
              <w:t>8</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52,9</w:t>
            </w:r>
          </w:p>
        </w:tc>
        <w:tc>
          <w:tcPr>
            <w:tcW w:w="875" w:type="dxa"/>
            <w:shd w:val="clear" w:color="auto" w:fill="FDE9D9" w:themeFill="accent6" w:themeFillTint="33"/>
            <w:noWrap/>
            <w:vAlign w:val="bottom"/>
          </w:tcPr>
          <w:p w:rsidR="002F0FFA" w:rsidRPr="00C90523" w:rsidRDefault="006568A3" w:rsidP="002F0FFA">
            <w:pPr>
              <w:spacing w:after="0" w:line="240" w:lineRule="auto"/>
              <w:jc w:val="center"/>
              <w:rPr>
                <w:sz w:val="20"/>
                <w:szCs w:val="20"/>
              </w:rPr>
            </w:pPr>
            <w:r w:rsidRPr="006568A3">
              <w:rPr>
                <w:sz w:val="20"/>
                <w:szCs w:val="20"/>
              </w:rPr>
              <w:t>47,1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Paridade</w:t>
            </w:r>
          </w:p>
        </w:tc>
        <w:tc>
          <w:tcPr>
            <w:tcW w:w="1082" w:type="dxa"/>
            <w:vMerge/>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Legislativo (Deputados/as da AN)</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72</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15</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57</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20,8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79,2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color w:val="000000"/>
                <w:sz w:val="20"/>
                <w:szCs w:val="20"/>
              </w:rPr>
            </w:pPr>
            <w:r w:rsidRPr="006568A3">
              <w:rPr>
                <w:color w:val="000000"/>
                <w:sz w:val="20"/>
                <w:szCs w:val="20"/>
              </w:rPr>
              <w:t>0,26</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2011</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Autárquico (eleitos/as)</w:t>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464</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106</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358</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77,2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0,30</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2DBDB" w:themeFill="accent2" w:themeFillTint="33"/>
            <w:noWrap/>
          </w:tcPr>
          <w:p w:rsidR="002F0FFA" w:rsidRPr="00C90523" w:rsidRDefault="006568A3" w:rsidP="002F0FFA">
            <w:pPr>
              <w:spacing w:after="0" w:line="240" w:lineRule="auto"/>
              <w:jc w:val="right"/>
              <w:rPr>
                <w:i/>
                <w:sz w:val="16"/>
                <w:szCs w:val="16"/>
              </w:rPr>
            </w:pPr>
            <w:r w:rsidRPr="006568A3">
              <w:rPr>
                <w:i/>
                <w:sz w:val="16"/>
                <w:szCs w:val="16"/>
              </w:rPr>
              <w:t xml:space="preserve">Presidente de Câmara  </w:t>
            </w:r>
          </w:p>
        </w:tc>
        <w:tc>
          <w:tcPr>
            <w:tcW w:w="950"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22</w:t>
            </w:r>
          </w:p>
        </w:tc>
        <w:tc>
          <w:tcPr>
            <w:tcW w:w="961"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1</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21</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i/>
                <w:color w:val="000000"/>
                <w:sz w:val="16"/>
                <w:szCs w:val="16"/>
              </w:rPr>
            </w:pPr>
            <w:r w:rsidRPr="006568A3">
              <w:rPr>
                <w:rFonts w:ascii="Calibri" w:hAnsi="Calibri" w:cs="Arial"/>
                <w:i/>
                <w:color w:val="000000"/>
                <w:sz w:val="16"/>
                <w:szCs w:val="16"/>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i/>
                <w:color w:val="000000"/>
                <w:sz w:val="16"/>
                <w:szCs w:val="16"/>
              </w:rPr>
            </w:pPr>
            <w:r w:rsidRPr="006568A3">
              <w:rPr>
                <w:rFonts w:ascii="Calibri" w:hAnsi="Calibri" w:cs="Arial"/>
                <w:i/>
                <w:color w:val="000000"/>
                <w:sz w:val="16"/>
                <w:szCs w:val="16"/>
              </w:rPr>
              <w:t>4,5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i/>
                <w:color w:val="000000"/>
                <w:sz w:val="16"/>
                <w:szCs w:val="16"/>
              </w:rPr>
            </w:pPr>
            <w:r w:rsidRPr="006568A3">
              <w:rPr>
                <w:rFonts w:ascii="Calibri" w:hAnsi="Calibri" w:cs="Arial"/>
                <w:i/>
                <w:color w:val="000000"/>
                <w:sz w:val="16"/>
                <w:szCs w:val="16"/>
              </w:rPr>
              <w:t>95,5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i/>
                <w:color w:val="000000"/>
                <w:sz w:val="16"/>
                <w:szCs w:val="16"/>
              </w:rPr>
            </w:pPr>
            <w:r w:rsidRPr="006568A3">
              <w:rPr>
                <w:rFonts w:ascii="Calibri" w:hAnsi="Calibri" w:cs="Arial"/>
                <w:i/>
                <w:color w:val="000000"/>
                <w:sz w:val="16"/>
                <w:szCs w:val="16"/>
              </w:rPr>
              <w:t>0,05</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2DBDB" w:themeFill="accent2" w:themeFillTint="33"/>
            <w:noWrap/>
          </w:tcPr>
          <w:p w:rsidR="002F0FFA" w:rsidRPr="00C90523" w:rsidRDefault="006568A3" w:rsidP="002F0FFA">
            <w:pPr>
              <w:spacing w:after="0" w:line="240" w:lineRule="auto"/>
              <w:jc w:val="right"/>
              <w:rPr>
                <w:i/>
                <w:sz w:val="16"/>
                <w:szCs w:val="16"/>
              </w:rPr>
            </w:pPr>
            <w:r w:rsidRPr="006568A3">
              <w:rPr>
                <w:i/>
                <w:sz w:val="16"/>
                <w:szCs w:val="16"/>
              </w:rPr>
              <w:t>CM (vereadores)</w:t>
            </w:r>
          </w:p>
        </w:tc>
        <w:tc>
          <w:tcPr>
            <w:tcW w:w="950"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137</w:t>
            </w:r>
          </w:p>
        </w:tc>
        <w:tc>
          <w:tcPr>
            <w:tcW w:w="961"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29</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108</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21,2</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78,8</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0,27</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2DBDB" w:themeFill="accent2" w:themeFillTint="33"/>
            <w:noWrap/>
          </w:tcPr>
          <w:p w:rsidR="002F0FFA" w:rsidRPr="00C90523" w:rsidRDefault="006568A3" w:rsidP="002F0FFA">
            <w:pPr>
              <w:spacing w:after="0" w:line="240" w:lineRule="auto"/>
              <w:jc w:val="right"/>
              <w:rPr>
                <w:i/>
                <w:sz w:val="16"/>
                <w:szCs w:val="16"/>
              </w:rPr>
            </w:pPr>
            <w:r w:rsidRPr="006568A3">
              <w:rPr>
                <w:i/>
                <w:sz w:val="16"/>
                <w:szCs w:val="16"/>
              </w:rPr>
              <w:t xml:space="preserve">Deputados/as AM  </w:t>
            </w:r>
          </w:p>
        </w:tc>
        <w:tc>
          <w:tcPr>
            <w:tcW w:w="950"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327</w:t>
            </w:r>
          </w:p>
        </w:tc>
        <w:tc>
          <w:tcPr>
            <w:tcW w:w="961"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77</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250</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23,5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76,5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s="Arial"/>
                <w:i/>
                <w:color w:val="000000"/>
                <w:sz w:val="16"/>
                <w:szCs w:val="16"/>
              </w:rPr>
            </w:pPr>
            <w:r w:rsidRPr="006568A3">
              <w:rPr>
                <w:rFonts w:ascii="Calibri" w:hAnsi="Calibri" w:cs="Arial"/>
                <w:i/>
                <w:color w:val="000000"/>
                <w:sz w:val="16"/>
                <w:szCs w:val="16"/>
              </w:rPr>
              <w:t>0,31</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Judicial</w:t>
            </w:r>
          </w:p>
        </w:tc>
        <w:tc>
          <w:tcPr>
            <w:tcW w:w="6341" w:type="dxa"/>
            <w:gridSpan w:val="7"/>
            <w:noWrap/>
            <w:vAlign w:val="center"/>
          </w:tcPr>
          <w:p w:rsidR="002F0FFA" w:rsidRPr="00C90523" w:rsidRDefault="002F0FFA" w:rsidP="002F0FFA">
            <w:pPr>
              <w:spacing w:after="0" w:line="240" w:lineRule="auto"/>
              <w:jc w:val="center"/>
              <w:rPr>
                <w:color w:val="000000"/>
                <w:sz w:val="20"/>
                <w:szCs w:val="20"/>
              </w:rPr>
            </w:pPr>
          </w:p>
        </w:tc>
        <w:tc>
          <w:tcPr>
            <w:tcW w:w="1082" w:type="dxa"/>
            <w:vAlign w:val="center"/>
          </w:tcPr>
          <w:p w:rsidR="002F0FFA" w:rsidRPr="00C90523" w:rsidRDefault="002F0FFA" w:rsidP="002F0FFA">
            <w:pPr>
              <w:spacing w:after="0" w:line="240" w:lineRule="auto"/>
              <w:jc w:val="center"/>
              <w:rPr>
                <w:sz w:val="20"/>
                <w:szCs w:val="20"/>
              </w:rPr>
            </w:pP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2DBDB" w:themeFill="accent2" w:themeFillTint="33"/>
            <w:noWrap/>
          </w:tcPr>
          <w:p w:rsidR="002F0FFA" w:rsidRPr="00C90523" w:rsidRDefault="006568A3" w:rsidP="002F0FFA">
            <w:pPr>
              <w:spacing w:after="0" w:line="240" w:lineRule="auto"/>
              <w:jc w:val="right"/>
              <w:rPr>
                <w:i/>
                <w:sz w:val="16"/>
                <w:szCs w:val="16"/>
              </w:rPr>
            </w:pPr>
            <w:r w:rsidRPr="006568A3">
              <w:rPr>
                <w:i/>
                <w:sz w:val="16"/>
                <w:szCs w:val="16"/>
              </w:rPr>
              <w:t>Supremo Tribunal</w:t>
            </w:r>
          </w:p>
        </w:tc>
        <w:tc>
          <w:tcPr>
            <w:tcW w:w="950"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7</w:t>
            </w:r>
          </w:p>
        </w:tc>
        <w:tc>
          <w:tcPr>
            <w:tcW w:w="961"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3</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4</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42,9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57,1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cs="Arial"/>
                <w:i/>
                <w:color w:val="000000"/>
                <w:sz w:val="16"/>
                <w:szCs w:val="16"/>
              </w:rPr>
            </w:pPr>
            <w:r w:rsidRPr="006568A3">
              <w:rPr>
                <w:i/>
                <w:sz w:val="16"/>
                <w:szCs w:val="16"/>
              </w:rPr>
              <w:t>Paridade</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tcBorders>
              <w:bottom w:val="single" w:sz="4" w:space="0" w:color="auto"/>
            </w:tcBorders>
            <w:shd w:val="clear" w:color="auto" w:fill="F2DBDB" w:themeFill="accent2" w:themeFillTint="33"/>
            <w:noWrap/>
          </w:tcPr>
          <w:p w:rsidR="002F0FFA" w:rsidRPr="00C90523" w:rsidRDefault="006568A3" w:rsidP="002F0FFA">
            <w:pPr>
              <w:spacing w:after="0" w:line="240" w:lineRule="auto"/>
              <w:jc w:val="right"/>
              <w:rPr>
                <w:i/>
                <w:sz w:val="16"/>
                <w:szCs w:val="16"/>
              </w:rPr>
            </w:pPr>
            <w:r w:rsidRPr="006568A3">
              <w:rPr>
                <w:i/>
                <w:sz w:val="16"/>
                <w:szCs w:val="16"/>
              </w:rPr>
              <w:t>Magistrados/as</w:t>
            </w:r>
          </w:p>
        </w:tc>
        <w:tc>
          <w:tcPr>
            <w:tcW w:w="950"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60</w:t>
            </w:r>
          </w:p>
        </w:tc>
        <w:tc>
          <w:tcPr>
            <w:tcW w:w="961" w:type="dxa"/>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21</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i/>
                <w:color w:val="000000"/>
                <w:sz w:val="16"/>
                <w:szCs w:val="16"/>
              </w:rPr>
            </w:pPr>
            <w:r w:rsidRPr="006568A3">
              <w:rPr>
                <w:rFonts w:cs="Arial"/>
                <w:i/>
                <w:color w:val="000000"/>
                <w:sz w:val="16"/>
                <w:szCs w:val="16"/>
              </w:rPr>
              <w:t>39</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i/>
                <w:color w:val="000000"/>
                <w:sz w:val="16"/>
                <w:szCs w:val="16"/>
              </w:rPr>
            </w:pPr>
            <w:r w:rsidRPr="006568A3">
              <w:rPr>
                <w:i/>
                <w:color w:val="000000"/>
                <w:sz w:val="16"/>
                <w:szCs w:val="16"/>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i/>
                <w:sz w:val="16"/>
                <w:szCs w:val="16"/>
              </w:rPr>
            </w:pPr>
            <w:r w:rsidRPr="006568A3">
              <w:rPr>
                <w:i/>
                <w:sz w:val="16"/>
                <w:szCs w:val="16"/>
              </w:rPr>
              <w:t>35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i/>
                <w:sz w:val="16"/>
                <w:szCs w:val="16"/>
              </w:rPr>
            </w:pPr>
            <w:r w:rsidRPr="006568A3">
              <w:rPr>
                <w:i/>
                <w:sz w:val="16"/>
                <w:szCs w:val="16"/>
              </w:rPr>
              <w:t>65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i/>
                <w:sz w:val="16"/>
                <w:szCs w:val="16"/>
              </w:rPr>
            </w:pPr>
            <w:r w:rsidRPr="006568A3">
              <w:rPr>
                <w:i/>
                <w:sz w:val="16"/>
                <w:szCs w:val="16"/>
              </w:rPr>
              <w:t>0,54</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Cargos decisão nos partidos políticos</w:t>
            </w:r>
            <w:r w:rsidRPr="006568A3">
              <w:rPr>
                <w:rStyle w:val="Refdenotaderodap"/>
                <w:sz w:val="20"/>
                <w:szCs w:val="20"/>
              </w:rPr>
              <w:footnoteReference w:id="70"/>
            </w:r>
          </w:p>
        </w:tc>
        <w:tc>
          <w:tcPr>
            <w:tcW w:w="950"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96</w:t>
            </w:r>
          </w:p>
        </w:tc>
        <w:tc>
          <w:tcPr>
            <w:tcW w:w="961" w:type="dxa"/>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22</w:t>
            </w:r>
          </w:p>
        </w:tc>
        <w:tc>
          <w:tcPr>
            <w:tcW w:w="975" w:type="dxa"/>
            <w:shd w:val="clear" w:color="auto" w:fill="FFFFFF" w:themeFill="background1"/>
            <w:noWrap/>
            <w:vAlign w:val="center"/>
          </w:tcPr>
          <w:p w:rsidR="002F0FFA" w:rsidRPr="00C90523" w:rsidRDefault="006568A3" w:rsidP="002F0FFA">
            <w:pPr>
              <w:spacing w:after="0" w:line="240" w:lineRule="auto"/>
              <w:jc w:val="center"/>
              <w:rPr>
                <w:rFonts w:cs="Arial"/>
                <w:color w:val="000000"/>
                <w:sz w:val="20"/>
                <w:szCs w:val="20"/>
              </w:rPr>
            </w:pPr>
            <w:r w:rsidRPr="006568A3">
              <w:rPr>
                <w:rFonts w:cs="Arial"/>
                <w:color w:val="000000"/>
                <w:sz w:val="20"/>
                <w:szCs w:val="20"/>
              </w:rPr>
              <w:t>74</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bCs/>
                <w:color w:val="000000"/>
                <w:sz w:val="20"/>
                <w:szCs w:val="20"/>
              </w:rPr>
            </w:pPr>
            <w:r w:rsidRPr="006568A3">
              <w:rPr>
                <w:rFonts w:ascii="Calibri" w:hAnsi="Calibri"/>
                <w:bCs/>
                <w:color w:val="000000"/>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bCs/>
                <w:color w:val="000000"/>
                <w:sz w:val="20"/>
                <w:szCs w:val="20"/>
              </w:rPr>
            </w:pPr>
            <w:r w:rsidRPr="006568A3">
              <w:rPr>
                <w:rFonts w:ascii="Calibri" w:hAnsi="Calibri"/>
                <w:bCs/>
                <w:color w:val="000000"/>
                <w:sz w:val="20"/>
                <w:szCs w:val="20"/>
              </w:rPr>
              <w:t>22,9</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rFonts w:ascii="Calibri" w:hAnsi="Calibri"/>
                <w:bCs/>
                <w:color w:val="000000"/>
                <w:sz w:val="20"/>
                <w:szCs w:val="20"/>
              </w:rPr>
            </w:pPr>
            <w:r w:rsidRPr="006568A3">
              <w:rPr>
                <w:rFonts w:ascii="Calibri" w:hAnsi="Calibri"/>
                <w:bCs/>
                <w:color w:val="000000"/>
                <w:sz w:val="20"/>
                <w:szCs w:val="20"/>
              </w:rPr>
              <w:t>77,1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rFonts w:ascii="Calibri" w:hAnsi="Calibri" w:cs="Arial"/>
                <w:color w:val="000000"/>
                <w:sz w:val="20"/>
                <w:szCs w:val="20"/>
              </w:rPr>
            </w:pPr>
            <w:r w:rsidRPr="006568A3">
              <w:rPr>
                <w:rFonts w:ascii="Calibri" w:hAnsi="Calibri" w:cs="Arial"/>
                <w:color w:val="000000"/>
                <w:sz w:val="20"/>
                <w:szCs w:val="20"/>
              </w:rPr>
              <w:t>0,31</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2014</w:t>
            </w:r>
          </w:p>
        </w:tc>
        <w:tc>
          <w:tcPr>
            <w:tcW w:w="1134"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Cargos direção função pública</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35</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65</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0,54</w:t>
            </w:r>
          </w:p>
        </w:tc>
        <w:tc>
          <w:tcPr>
            <w:tcW w:w="1082" w:type="dxa"/>
          </w:tcPr>
          <w:p w:rsidR="002F0FFA" w:rsidRPr="00C90523" w:rsidRDefault="002F0FFA" w:rsidP="002F0FFA">
            <w:pPr>
              <w:spacing w:after="0" w:line="240" w:lineRule="auto"/>
              <w:jc w:val="right"/>
              <w:rPr>
                <w:sz w:val="20"/>
                <w:szCs w:val="20"/>
              </w:rPr>
            </w:pPr>
          </w:p>
        </w:tc>
        <w:tc>
          <w:tcPr>
            <w:tcW w:w="1134" w:type="dxa"/>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Polícia Nacional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92</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0,09</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PN/MAI</w:t>
            </w: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Polícia Judiciária (nível de decisão)</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30</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70</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0,43</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PJ</w:t>
            </w: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Forças Armadas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93</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0,08</w:t>
            </w:r>
          </w:p>
        </w:tc>
        <w:tc>
          <w:tcPr>
            <w:tcW w:w="1082" w:type="dxa"/>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6568A3" w:rsidP="002F0FFA">
            <w:pPr>
              <w:spacing w:after="0" w:line="240" w:lineRule="auto"/>
              <w:jc w:val="center"/>
              <w:rPr>
                <w:sz w:val="20"/>
                <w:szCs w:val="20"/>
              </w:rPr>
            </w:pPr>
            <w:r w:rsidRPr="006568A3">
              <w:rPr>
                <w:sz w:val="20"/>
                <w:szCs w:val="20"/>
              </w:rPr>
              <w:t>FA</w:t>
            </w: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Jornalistas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51,3</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48,7</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1,05</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Cargos de chefia na comunicação social</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shd w:val="clear" w:color="auto" w:fill="FFFFFF" w:themeFill="background1"/>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36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64</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0,56</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2013</w:t>
            </w:r>
          </w:p>
        </w:tc>
        <w:tc>
          <w:tcPr>
            <w:tcW w:w="1134" w:type="dxa"/>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Liderança nas empresas</w:t>
            </w:r>
          </w:p>
        </w:tc>
        <w:tc>
          <w:tcPr>
            <w:tcW w:w="950"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975" w:type="dxa"/>
            <w:noWrap/>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100</w:t>
            </w:r>
          </w:p>
        </w:tc>
        <w:tc>
          <w:tcPr>
            <w:tcW w:w="851"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35</w:t>
            </w:r>
          </w:p>
        </w:tc>
        <w:tc>
          <w:tcPr>
            <w:tcW w:w="875" w:type="dxa"/>
            <w:shd w:val="clear" w:color="auto" w:fill="FDE9D9" w:themeFill="accent6" w:themeFillTint="33"/>
            <w:noWrap/>
          </w:tcPr>
          <w:p w:rsidR="002F0FFA" w:rsidRPr="00C90523" w:rsidRDefault="006568A3" w:rsidP="002F0FFA">
            <w:pPr>
              <w:spacing w:after="0" w:line="240" w:lineRule="auto"/>
              <w:jc w:val="center"/>
              <w:rPr>
                <w:sz w:val="20"/>
                <w:szCs w:val="20"/>
              </w:rPr>
            </w:pPr>
            <w:r w:rsidRPr="006568A3">
              <w:rPr>
                <w:sz w:val="20"/>
                <w:szCs w:val="20"/>
              </w:rPr>
              <w:t>65</w:t>
            </w:r>
          </w:p>
        </w:tc>
        <w:tc>
          <w:tcPr>
            <w:tcW w:w="962" w:type="dxa"/>
            <w:shd w:val="clear" w:color="auto" w:fill="FABF8F" w:themeFill="accent6" w:themeFillTint="99"/>
          </w:tcPr>
          <w:p w:rsidR="002F0FFA" w:rsidRPr="00C90523" w:rsidRDefault="006568A3" w:rsidP="002F0FFA">
            <w:pPr>
              <w:spacing w:after="0" w:line="240" w:lineRule="auto"/>
              <w:jc w:val="center"/>
              <w:rPr>
                <w:sz w:val="20"/>
                <w:szCs w:val="20"/>
              </w:rPr>
            </w:pPr>
            <w:r w:rsidRPr="006568A3">
              <w:rPr>
                <w:sz w:val="20"/>
                <w:szCs w:val="20"/>
              </w:rPr>
              <w:t>0,54</w:t>
            </w:r>
          </w:p>
        </w:tc>
        <w:tc>
          <w:tcPr>
            <w:tcW w:w="1082" w:type="dxa"/>
          </w:tcPr>
          <w:p w:rsidR="002F0FFA" w:rsidRPr="00C90523" w:rsidRDefault="006568A3" w:rsidP="002F0FFA">
            <w:pPr>
              <w:spacing w:after="0" w:line="240" w:lineRule="auto"/>
              <w:jc w:val="center"/>
              <w:rPr>
                <w:sz w:val="20"/>
                <w:szCs w:val="20"/>
              </w:rPr>
            </w:pPr>
            <w:r w:rsidRPr="006568A3">
              <w:rPr>
                <w:sz w:val="20"/>
                <w:szCs w:val="20"/>
              </w:rPr>
              <w:t>2012</w:t>
            </w:r>
          </w:p>
        </w:tc>
        <w:tc>
          <w:tcPr>
            <w:tcW w:w="1134" w:type="dxa"/>
          </w:tcPr>
          <w:p w:rsidR="002F0FFA" w:rsidRPr="00C90523" w:rsidRDefault="006568A3" w:rsidP="002F0FFA">
            <w:pPr>
              <w:spacing w:after="0" w:line="240" w:lineRule="auto"/>
              <w:jc w:val="center"/>
              <w:rPr>
                <w:sz w:val="20"/>
                <w:szCs w:val="20"/>
              </w:rPr>
            </w:pPr>
            <w:r w:rsidRPr="006568A3">
              <w:rPr>
                <w:sz w:val="18"/>
                <w:szCs w:val="18"/>
              </w:rPr>
              <w:t>INE, Censo Empresarial</w:t>
            </w:r>
          </w:p>
        </w:tc>
      </w:tr>
      <w:tr w:rsidR="002F0FFA" w:rsidRPr="00C90523" w:rsidTr="002F0FFA">
        <w:trPr>
          <w:trHeight w:val="276"/>
        </w:trPr>
        <w:tc>
          <w:tcPr>
            <w:tcW w:w="2125"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Presidente Associações Comunitárias de Base</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94,2</w:t>
            </w:r>
            <w:r w:rsidRPr="006568A3">
              <w:rPr>
                <w:rStyle w:val="Refdenotaderodap"/>
                <w:sz w:val="20"/>
                <w:szCs w:val="20"/>
              </w:rPr>
              <w:footnoteReference w:id="71"/>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11,1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83,1</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0,13</w:t>
            </w:r>
          </w:p>
        </w:tc>
        <w:tc>
          <w:tcPr>
            <w:tcW w:w="1082" w:type="dxa"/>
            <w:vAlign w:val="center"/>
          </w:tcPr>
          <w:p w:rsidR="002F0FFA" w:rsidRPr="00C90523" w:rsidRDefault="006568A3" w:rsidP="002F0FFA">
            <w:pPr>
              <w:spacing w:after="0" w:line="240" w:lineRule="auto"/>
              <w:jc w:val="center"/>
              <w:rPr>
                <w:sz w:val="20"/>
                <w:szCs w:val="20"/>
              </w:rPr>
            </w:pPr>
            <w:r w:rsidRPr="006568A3">
              <w:rPr>
                <w:sz w:val="20"/>
                <w:szCs w:val="20"/>
              </w:rPr>
              <w:t>2010</w:t>
            </w:r>
          </w:p>
        </w:tc>
        <w:tc>
          <w:tcPr>
            <w:tcW w:w="1134" w:type="dxa"/>
          </w:tcPr>
          <w:p w:rsidR="002F0FFA" w:rsidRPr="00C90523" w:rsidRDefault="006568A3" w:rsidP="005D2D23">
            <w:pPr>
              <w:spacing w:after="0" w:line="240" w:lineRule="auto"/>
              <w:jc w:val="center"/>
              <w:rPr>
                <w:sz w:val="16"/>
                <w:szCs w:val="16"/>
              </w:rPr>
            </w:pPr>
            <w:r w:rsidRPr="006568A3">
              <w:rPr>
                <w:sz w:val="16"/>
                <w:szCs w:val="16"/>
              </w:rPr>
              <w:t>PNLP/POSER, Inquérito ACBs</w:t>
            </w:r>
          </w:p>
        </w:tc>
      </w:tr>
      <w:tr w:rsidR="002F0FFA" w:rsidRPr="00C90523" w:rsidTr="002F0FFA">
        <w:trPr>
          <w:trHeight w:val="276"/>
        </w:trPr>
        <w:tc>
          <w:tcPr>
            <w:tcW w:w="8466" w:type="dxa"/>
            <w:gridSpan w:val="8"/>
            <w:shd w:val="clear" w:color="auto" w:fill="D9D9D9" w:themeFill="background1" w:themeFillShade="D9"/>
            <w:noWrap/>
          </w:tcPr>
          <w:p w:rsidR="002F0FFA" w:rsidRPr="00C90523" w:rsidRDefault="006568A3" w:rsidP="002F0FFA">
            <w:pPr>
              <w:spacing w:after="0" w:line="240" w:lineRule="auto"/>
              <w:rPr>
                <w:sz w:val="20"/>
                <w:szCs w:val="20"/>
              </w:rPr>
            </w:pPr>
            <w:r w:rsidRPr="006568A3">
              <w:rPr>
                <w:sz w:val="20"/>
                <w:szCs w:val="20"/>
              </w:rPr>
              <w:t>5.2. Tomada de decisão no espaço privado/contexto familiar</w:t>
            </w:r>
          </w:p>
        </w:tc>
        <w:tc>
          <w:tcPr>
            <w:tcW w:w="1082"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2005</w:t>
            </w:r>
          </w:p>
        </w:tc>
        <w:tc>
          <w:tcPr>
            <w:tcW w:w="1134" w:type="dxa"/>
            <w:vMerge w:val="restart"/>
            <w:vAlign w:val="center"/>
          </w:tcPr>
          <w:p w:rsidR="002F0FFA" w:rsidRPr="00C90523" w:rsidRDefault="006568A3" w:rsidP="002F0FFA">
            <w:pPr>
              <w:spacing w:after="0" w:line="240" w:lineRule="auto"/>
              <w:jc w:val="center"/>
              <w:rPr>
                <w:sz w:val="20"/>
                <w:szCs w:val="20"/>
              </w:rPr>
            </w:pPr>
            <w:r w:rsidRPr="006568A3">
              <w:rPr>
                <w:sz w:val="20"/>
                <w:szCs w:val="20"/>
              </w:rPr>
              <w:t>INE,</w:t>
            </w:r>
          </w:p>
          <w:p w:rsidR="002F0FFA" w:rsidRPr="00C90523" w:rsidRDefault="006568A3" w:rsidP="002F0FFA">
            <w:pPr>
              <w:spacing w:after="0" w:line="240" w:lineRule="auto"/>
              <w:jc w:val="center"/>
              <w:rPr>
                <w:sz w:val="20"/>
                <w:szCs w:val="20"/>
              </w:rPr>
            </w:pPr>
            <w:r w:rsidRPr="006568A3">
              <w:rPr>
                <w:sz w:val="20"/>
                <w:szCs w:val="20"/>
              </w:rPr>
              <w:t>IDSR II</w:t>
            </w: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color w:val="FF0000"/>
                <w:sz w:val="20"/>
                <w:szCs w:val="20"/>
              </w:rPr>
            </w:pPr>
            <w:r w:rsidRPr="006568A3">
              <w:rPr>
                <w:sz w:val="20"/>
                <w:szCs w:val="20"/>
              </w:rPr>
              <w:t>Tomam decisões sobre grandes compras para o lar</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51,6</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16"/>
                <w:szCs w:val="16"/>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color w:val="FF0000"/>
                <w:sz w:val="20"/>
                <w:szCs w:val="20"/>
              </w:rPr>
            </w:pPr>
            <w:r w:rsidRPr="006568A3">
              <w:rPr>
                <w:sz w:val="20"/>
                <w:szCs w:val="20"/>
              </w:rPr>
              <w:t>Tomam decisões sobre a sua própria saúde</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FF0000"/>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63,1</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16"/>
                <w:szCs w:val="16"/>
              </w:rPr>
            </w:pPr>
          </w:p>
        </w:tc>
      </w:tr>
      <w:tr w:rsidR="002F0FFA" w:rsidRPr="00C90523" w:rsidTr="002F0FFA">
        <w:trPr>
          <w:trHeight w:val="276"/>
        </w:trPr>
        <w:tc>
          <w:tcPr>
            <w:tcW w:w="2125"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Tomam decisões sobre visitas a familiares</w:t>
            </w:r>
          </w:p>
        </w:tc>
        <w:tc>
          <w:tcPr>
            <w:tcW w:w="950"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1"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75" w:type="dxa"/>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767" w:type="dxa"/>
            <w:shd w:val="clear" w:color="auto" w:fill="FDE9D9" w:themeFill="accent6" w:themeFillTint="33"/>
            <w:noWrap/>
            <w:vAlign w:val="center"/>
          </w:tcPr>
          <w:p w:rsidR="002F0FFA" w:rsidRPr="00C90523" w:rsidRDefault="006568A3" w:rsidP="002F0FFA">
            <w:pPr>
              <w:spacing w:after="0" w:line="240" w:lineRule="auto"/>
              <w:jc w:val="center"/>
              <w:rPr>
                <w:color w:val="FF0000"/>
                <w:sz w:val="20"/>
                <w:szCs w:val="20"/>
              </w:rPr>
            </w:pPr>
            <w:r w:rsidRPr="006568A3">
              <w:rPr>
                <w:sz w:val="20"/>
                <w:szCs w:val="20"/>
              </w:rPr>
              <w:t>-</w:t>
            </w:r>
          </w:p>
        </w:tc>
        <w:tc>
          <w:tcPr>
            <w:tcW w:w="851"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61,7</w:t>
            </w:r>
          </w:p>
        </w:tc>
        <w:tc>
          <w:tcPr>
            <w:tcW w:w="875" w:type="dxa"/>
            <w:shd w:val="clear" w:color="auto" w:fill="FDE9D9" w:themeFill="accent6" w:themeFillTint="33"/>
            <w:noWrap/>
            <w:vAlign w:val="center"/>
          </w:tcPr>
          <w:p w:rsidR="002F0FFA" w:rsidRPr="00C90523" w:rsidRDefault="006568A3" w:rsidP="002F0FFA">
            <w:pPr>
              <w:spacing w:after="0" w:line="240" w:lineRule="auto"/>
              <w:jc w:val="center"/>
              <w:rPr>
                <w:sz w:val="20"/>
                <w:szCs w:val="20"/>
              </w:rPr>
            </w:pPr>
            <w:r w:rsidRPr="006568A3">
              <w:rPr>
                <w:sz w:val="20"/>
                <w:szCs w:val="20"/>
              </w:rPr>
              <w:t>-</w:t>
            </w:r>
          </w:p>
        </w:tc>
        <w:tc>
          <w:tcPr>
            <w:tcW w:w="962" w:type="dxa"/>
            <w:shd w:val="clear" w:color="auto" w:fill="FABF8F" w:themeFill="accent6" w:themeFillTint="99"/>
          </w:tcPr>
          <w:p w:rsidR="002F0FFA" w:rsidRPr="00C90523" w:rsidRDefault="006568A3" w:rsidP="002F0FFA">
            <w:pPr>
              <w:spacing w:after="0" w:line="240" w:lineRule="auto"/>
              <w:jc w:val="center"/>
              <w:rPr>
                <w:sz w:val="20"/>
                <w:szCs w:val="20"/>
              </w:rPr>
            </w:pPr>
            <w:r w:rsidRPr="006568A3">
              <w:rPr>
                <w:sz w:val="20"/>
                <w:szCs w:val="20"/>
              </w:rPr>
              <w:t>-</w:t>
            </w:r>
          </w:p>
        </w:tc>
        <w:tc>
          <w:tcPr>
            <w:tcW w:w="1082" w:type="dxa"/>
            <w:vMerge/>
          </w:tcPr>
          <w:p w:rsidR="002F0FFA" w:rsidRPr="00C90523" w:rsidRDefault="002F0FFA" w:rsidP="002F0FFA">
            <w:pPr>
              <w:spacing w:after="0" w:line="240" w:lineRule="auto"/>
              <w:jc w:val="center"/>
              <w:rPr>
                <w:sz w:val="20"/>
                <w:szCs w:val="20"/>
              </w:rPr>
            </w:pPr>
          </w:p>
        </w:tc>
        <w:tc>
          <w:tcPr>
            <w:tcW w:w="1134" w:type="dxa"/>
            <w:vMerge/>
          </w:tcPr>
          <w:p w:rsidR="002F0FFA" w:rsidRPr="00C90523" w:rsidRDefault="002F0FFA" w:rsidP="002F0FFA">
            <w:pPr>
              <w:spacing w:after="0" w:line="240" w:lineRule="auto"/>
              <w:jc w:val="center"/>
              <w:rPr>
                <w:sz w:val="16"/>
                <w:szCs w:val="16"/>
              </w:rPr>
            </w:pPr>
          </w:p>
        </w:tc>
      </w:tr>
    </w:tbl>
    <w:p w:rsidR="002F0FFA" w:rsidRPr="00C90523" w:rsidRDefault="002F0FFA" w:rsidP="002F0FFA">
      <w:pPr>
        <w:shd w:val="clear" w:color="auto" w:fill="FFFFFF"/>
        <w:spacing w:after="0" w:line="240" w:lineRule="auto"/>
        <w:rPr>
          <w:rFonts w:eastAsia="Times New Roman" w:cs="Helvetica"/>
          <w:b/>
        </w:rPr>
      </w:pPr>
    </w:p>
    <w:p w:rsidR="002F0FFA" w:rsidRPr="00C90523" w:rsidRDefault="002F0FFA" w:rsidP="002F0FFA">
      <w:pPr>
        <w:shd w:val="clear" w:color="auto" w:fill="FFFFFF"/>
        <w:spacing w:after="0" w:line="240" w:lineRule="auto"/>
        <w:rPr>
          <w:rFonts w:eastAsia="Times New Roman" w:cs="Helvetica"/>
          <w:b/>
        </w:rPr>
      </w:pPr>
    </w:p>
    <w:p w:rsidR="002F0FFA" w:rsidRPr="00C90523" w:rsidRDefault="006568A3" w:rsidP="002F0FFA">
      <w:pPr>
        <w:spacing w:after="0"/>
        <w:rPr>
          <w:rFonts w:eastAsia="Times New Roman" w:cs="Helvetica"/>
          <w:b/>
        </w:rPr>
      </w:pPr>
      <w:r w:rsidRPr="006568A3">
        <w:rPr>
          <w:rFonts w:eastAsia="Times New Roman" w:cs="Helvetica"/>
          <w:b/>
        </w:rPr>
        <w:br w:type="page"/>
      </w:r>
    </w:p>
    <w:p w:rsidR="002F0FFA" w:rsidRPr="00C90523" w:rsidRDefault="006568A3" w:rsidP="002F0FFA">
      <w:pPr>
        <w:shd w:val="clear" w:color="auto" w:fill="FFFFFF"/>
        <w:spacing w:after="0" w:line="240" w:lineRule="auto"/>
        <w:rPr>
          <w:rFonts w:eastAsia="Times New Roman" w:cs="Helvetica"/>
          <w:b/>
          <w:i/>
          <w:sz w:val="24"/>
          <w:szCs w:val="24"/>
        </w:rPr>
      </w:pPr>
      <w:r w:rsidRPr="006568A3">
        <w:rPr>
          <w:rFonts w:eastAsia="Times New Roman" w:cs="Helvetica"/>
          <w:b/>
          <w:i/>
          <w:sz w:val="24"/>
          <w:szCs w:val="24"/>
        </w:rPr>
        <w:t>Quadro 9 – Indicadores do compromisso do país com a igualdade de género</w:t>
      </w:r>
      <w:r w:rsidRPr="006568A3">
        <w:rPr>
          <w:rStyle w:val="Refdenotaderodap"/>
          <w:rFonts w:eastAsia="Times New Roman" w:cs="Helvetica"/>
          <w:b/>
          <w:i/>
          <w:sz w:val="24"/>
          <w:szCs w:val="24"/>
        </w:rPr>
        <w:footnoteReference w:id="72"/>
      </w:r>
    </w:p>
    <w:tbl>
      <w:tblPr>
        <w:tblW w:w="10682" w:type="dxa"/>
        <w:tblLayout w:type="fixed"/>
        <w:tblLook w:val="04A0" w:firstRow="1" w:lastRow="0" w:firstColumn="1" w:lastColumn="0" w:noHBand="0" w:noVBand="1"/>
      </w:tblPr>
      <w:tblGrid>
        <w:gridCol w:w="7054"/>
        <w:gridCol w:w="1412"/>
        <w:gridCol w:w="1423"/>
        <w:gridCol w:w="793"/>
      </w:tblGrid>
      <w:tr w:rsidR="002F0FFA" w:rsidRPr="00C90523" w:rsidTr="002F0FFA">
        <w:trPr>
          <w:trHeight w:val="790"/>
        </w:trPr>
        <w:tc>
          <w:tcPr>
            <w:tcW w:w="7054" w:type="dxa"/>
            <w:shd w:val="clear" w:color="auto" w:fill="E36C0A" w:themeFill="accent6" w:themeFillShade="BF"/>
            <w:vAlign w:val="center"/>
            <w:hideMark/>
          </w:tcPr>
          <w:p w:rsidR="002F0FFA" w:rsidRPr="00C90523" w:rsidRDefault="002F0FFA" w:rsidP="002F0FFA">
            <w:pPr>
              <w:spacing w:after="0" w:line="240" w:lineRule="auto"/>
              <w:jc w:val="center"/>
              <w:rPr>
                <w:b/>
                <w:bCs/>
                <w:sz w:val="20"/>
                <w:szCs w:val="20"/>
              </w:rPr>
            </w:pPr>
            <w:r w:rsidRPr="00C90523">
              <w:rPr>
                <w:b/>
                <w:bCs/>
                <w:sz w:val="20"/>
                <w:szCs w:val="20"/>
              </w:rPr>
              <w:t>Indicador</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b/>
                <w:bCs/>
                <w:sz w:val="20"/>
                <w:szCs w:val="20"/>
              </w:rPr>
            </w:pPr>
            <w:r w:rsidRPr="00861276">
              <w:rPr>
                <w:b/>
                <w:bCs/>
                <w:sz w:val="20"/>
                <w:szCs w:val="20"/>
              </w:rPr>
              <w:t>SIM-NÃO</w:t>
            </w:r>
          </w:p>
          <w:p w:rsidR="002F0FFA" w:rsidRPr="00C90523" w:rsidRDefault="002F0FFA" w:rsidP="002F0FFA">
            <w:pPr>
              <w:spacing w:after="0" w:line="240" w:lineRule="auto"/>
              <w:jc w:val="center"/>
              <w:rPr>
                <w:b/>
                <w:bCs/>
                <w:sz w:val="20"/>
                <w:szCs w:val="20"/>
              </w:rPr>
            </w:pPr>
            <w:r w:rsidRPr="00C90523">
              <w:rPr>
                <w:b/>
                <w:bCs/>
                <w:sz w:val="20"/>
                <w:szCs w:val="20"/>
              </w:rPr>
              <w:t>ou</w:t>
            </w:r>
          </w:p>
          <w:p w:rsidR="002F0FFA" w:rsidRPr="00C90523" w:rsidRDefault="002F0FFA" w:rsidP="002F0FFA">
            <w:pPr>
              <w:spacing w:after="0" w:line="240" w:lineRule="auto"/>
              <w:jc w:val="center"/>
              <w:rPr>
                <w:b/>
                <w:bCs/>
                <w:sz w:val="20"/>
                <w:szCs w:val="20"/>
              </w:rPr>
            </w:pPr>
            <w:r w:rsidRPr="00C90523">
              <w:rPr>
                <w:b/>
                <w:bCs/>
                <w:sz w:val="20"/>
                <w:szCs w:val="20"/>
              </w:rPr>
              <w:t>VALOR</w:t>
            </w:r>
          </w:p>
        </w:tc>
        <w:tc>
          <w:tcPr>
            <w:tcW w:w="1423" w:type="dxa"/>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r w:rsidRPr="00C90523">
              <w:rPr>
                <w:b/>
                <w:bCs/>
                <w:sz w:val="20"/>
                <w:szCs w:val="20"/>
              </w:rPr>
              <w:t>Ano de referência &amp; Fonte</w:t>
            </w:r>
          </w:p>
        </w:tc>
        <w:tc>
          <w:tcPr>
            <w:tcW w:w="793" w:type="dxa"/>
            <w:shd w:val="clear" w:color="auto" w:fill="E36C0A" w:themeFill="accent6" w:themeFillShade="BF"/>
            <w:vAlign w:val="center"/>
          </w:tcPr>
          <w:p w:rsidR="002F0FFA" w:rsidRPr="00C90523" w:rsidRDefault="002F0FFA" w:rsidP="002F0FFA">
            <w:pPr>
              <w:spacing w:after="0" w:line="240" w:lineRule="auto"/>
              <w:jc w:val="center"/>
              <w:rPr>
                <w:b/>
                <w:bCs/>
                <w:sz w:val="20"/>
                <w:szCs w:val="20"/>
              </w:rPr>
            </w:pPr>
            <w:r w:rsidRPr="00C90523">
              <w:rPr>
                <w:b/>
                <w:bCs/>
                <w:sz w:val="20"/>
                <w:szCs w:val="20"/>
              </w:rPr>
              <w:t>Obs.</w:t>
            </w:r>
          </w:p>
        </w:tc>
      </w:tr>
      <w:tr w:rsidR="002F0FFA" w:rsidRPr="00C90523" w:rsidTr="002F0FFA">
        <w:trPr>
          <w:trHeight w:val="276"/>
        </w:trPr>
        <w:tc>
          <w:tcPr>
            <w:tcW w:w="8466"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9.1. Compromisso do país com a igualdade de género no emprego</w:t>
            </w:r>
          </w:p>
        </w:tc>
        <w:tc>
          <w:tcPr>
            <w:tcW w:w="1423" w:type="dxa"/>
            <w:vMerge w:val="restart"/>
            <w:vAlign w:val="center"/>
          </w:tcPr>
          <w:p w:rsidR="002F0FFA" w:rsidRPr="00C90523" w:rsidRDefault="002F0FFA" w:rsidP="002F0FFA">
            <w:pPr>
              <w:spacing w:after="0" w:line="240" w:lineRule="auto"/>
              <w:jc w:val="center"/>
              <w:rPr>
                <w:sz w:val="20"/>
                <w:szCs w:val="20"/>
              </w:rPr>
            </w:pPr>
            <w:r w:rsidRPr="00C90523">
              <w:rPr>
                <w:sz w:val="20"/>
                <w:szCs w:val="20"/>
              </w:rPr>
              <w:t xml:space="preserve">2014 </w:t>
            </w:r>
          </w:p>
          <w:p w:rsidR="002F0FFA" w:rsidRPr="00861276" w:rsidRDefault="002F0FFA" w:rsidP="002F0FFA">
            <w:pPr>
              <w:spacing w:after="0" w:line="240" w:lineRule="auto"/>
              <w:jc w:val="center"/>
              <w:rPr>
                <w:sz w:val="20"/>
                <w:szCs w:val="20"/>
              </w:rPr>
            </w:pPr>
            <w:r w:rsidRPr="00861276">
              <w:rPr>
                <w:sz w:val="20"/>
                <w:szCs w:val="20"/>
              </w:rPr>
              <w:t>Site OIT</w:t>
            </w:r>
          </w:p>
        </w:tc>
        <w:tc>
          <w:tcPr>
            <w:tcW w:w="793" w:type="dxa"/>
            <w:vMerge w:val="restart"/>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Ratificação da Convenção Nº100 da OIT (igualdade remuneração entre mão-de-obra masculina/feminina em trabalho de valor igual)</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Sim</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color w:val="000000"/>
                <w:sz w:val="20"/>
                <w:szCs w:val="20"/>
              </w:rPr>
            </w:pPr>
            <w:r w:rsidRPr="006568A3">
              <w:rPr>
                <w:sz w:val="20"/>
                <w:szCs w:val="20"/>
              </w:rPr>
              <w:t>Ratificação da Convenção Nº111 da  OIT (discriminação no emprego e profissão)</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Sim</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9.2. Compromisso do país com a conciliação da vida laboral e familiar</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FC0A0C" w:rsidRDefault="006568A3" w:rsidP="002F0FFA">
            <w:pPr>
              <w:spacing w:after="0" w:line="240" w:lineRule="auto"/>
              <w:jc w:val="right"/>
              <w:rPr>
                <w:sz w:val="20"/>
                <w:szCs w:val="20"/>
              </w:rPr>
            </w:pPr>
            <w:r w:rsidRPr="00FC0A0C">
              <w:rPr>
                <w:sz w:val="20"/>
                <w:szCs w:val="20"/>
              </w:rPr>
              <w:t>Ratificação Convenção Nº156 da OIT (trabalhadores c/ responsabilidades familiares)</w:t>
            </w:r>
          </w:p>
        </w:tc>
        <w:tc>
          <w:tcPr>
            <w:tcW w:w="1412" w:type="dxa"/>
            <w:shd w:val="clear" w:color="auto" w:fill="FABF8F" w:themeFill="accent6" w:themeFillTint="99"/>
            <w:vAlign w:val="center"/>
          </w:tcPr>
          <w:p w:rsidR="002F0FFA" w:rsidRPr="00FC0A0C" w:rsidRDefault="002F0FFA" w:rsidP="002F0FFA">
            <w:pPr>
              <w:spacing w:after="0" w:line="240" w:lineRule="auto"/>
              <w:jc w:val="center"/>
              <w:rPr>
                <w:sz w:val="20"/>
                <w:szCs w:val="20"/>
              </w:rPr>
            </w:pPr>
            <w:r w:rsidRPr="00FC0A0C">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FC0A0C" w:rsidRDefault="006568A3" w:rsidP="002F0FFA">
            <w:pPr>
              <w:spacing w:after="0" w:line="240" w:lineRule="auto"/>
              <w:jc w:val="right"/>
              <w:rPr>
                <w:rFonts w:cs="Arial"/>
                <w:sz w:val="20"/>
                <w:szCs w:val="20"/>
              </w:rPr>
            </w:pPr>
            <w:r w:rsidRPr="00FC0A0C">
              <w:rPr>
                <w:sz w:val="20"/>
                <w:szCs w:val="20"/>
              </w:rPr>
              <w:t>Ratificação da Convenção Nº175 da OIT (trabalho a tempo parcial)</w:t>
            </w:r>
          </w:p>
        </w:tc>
        <w:tc>
          <w:tcPr>
            <w:tcW w:w="1412" w:type="dxa"/>
            <w:shd w:val="clear" w:color="auto" w:fill="FABF8F" w:themeFill="accent6" w:themeFillTint="99"/>
            <w:vAlign w:val="center"/>
          </w:tcPr>
          <w:p w:rsidR="002F0FFA" w:rsidRPr="00FC0A0C" w:rsidRDefault="002F0FFA" w:rsidP="002F0FFA">
            <w:pPr>
              <w:spacing w:after="0" w:line="240" w:lineRule="auto"/>
              <w:jc w:val="center"/>
              <w:rPr>
                <w:sz w:val="20"/>
                <w:szCs w:val="20"/>
              </w:rPr>
            </w:pPr>
            <w:r w:rsidRPr="00FC0A0C">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FC0A0C" w:rsidRDefault="006568A3" w:rsidP="002F0FFA">
            <w:pPr>
              <w:spacing w:after="0" w:line="240" w:lineRule="auto"/>
              <w:jc w:val="right"/>
              <w:rPr>
                <w:rFonts w:cs="Arial"/>
                <w:sz w:val="20"/>
                <w:szCs w:val="20"/>
              </w:rPr>
            </w:pPr>
            <w:r w:rsidRPr="00FC0A0C">
              <w:rPr>
                <w:sz w:val="20"/>
                <w:szCs w:val="20"/>
              </w:rPr>
              <w:t>Ratificação da Convenção Nº177 da OIT (trabalho a domicílio)</w:t>
            </w:r>
          </w:p>
        </w:tc>
        <w:tc>
          <w:tcPr>
            <w:tcW w:w="1412" w:type="dxa"/>
            <w:shd w:val="clear" w:color="auto" w:fill="FABF8F" w:themeFill="accent6" w:themeFillTint="99"/>
            <w:vAlign w:val="center"/>
          </w:tcPr>
          <w:p w:rsidR="002F0FFA" w:rsidRPr="00FC0A0C" w:rsidRDefault="002F0FFA" w:rsidP="002F0FFA">
            <w:pPr>
              <w:spacing w:after="0" w:line="240" w:lineRule="auto"/>
              <w:jc w:val="center"/>
              <w:rPr>
                <w:sz w:val="20"/>
                <w:szCs w:val="20"/>
              </w:rPr>
            </w:pPr>
            <w:r w:rsidRPr="00FC0A0C">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FC0A0C" w:rsidRDefault="006568A3" w:rsidP="002F0FFA">
            <w:pPr>
              <w:spacing w:after="0" w:line="240" w:lineRule="auto"/>
              <w:jc w:val="right"/>
              <w:rPr>
                <w:sz w:val="20"/>
                <w:szCs w:val="20"/>
              </w:rPr>
            </w:pPr>
            <w:r w:rsidRPr="00FC0A0C">
              <w:rPr>
                <w:sz w:val="20"/>
                <w:szCs w:val="20"/>
              </w:rPr>
              <w:t>Ratificação da Convenção Nº183 da OIT (protecção da maternidade)</w:t>
            </w:r>
          </w:p>
        </w:tc>
        <w:tc>
          <w:tcPr>
            <w:tcW w:w="1412" w:type="dxa"/>
            <w:shd w:val="clear" w:color="auto" w:fill="FABF8F" w:themeFill="accent6" w:themeFillTint="99"/>
            <w:vAlign w:val="center"/>
          </w:tcPr>
          <w:p w:rsidR="002F0FFA" w:rsidRPr="00FC0A0C" w:rsidRDefault="002F0FFA" w:rsidP="002F0FFA">
            <w:pPr>
              <w:spacing w:after="0" w:line="240" w:lineRule="auto"/>
              <w:jc w:val="center"/>
              <w:rPr>
                <w:sz w:val="20"/>
                <w:szCs w:val="20"/>
              </w:rPr>
            </w:pPr>
            <w:r w:rsidRPr="00FC0A0C">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D9D9D9" w:themeFill="background1" w:themeFillShade="D9"/>
            <w:noWrap/>
          </w:tcPr>
          <w:p w:rsidR="002F0FFA" w:rsidRPr="00C90523" w:rsidRDefault="006568A3" w:rsidP="002F0FFA">
            <w:pPr>
              <w:spacing w:after="0" w:line="240" w:lineRule="auto"/>
              <w:rPr>
                <w:sz w:val="20"/>
                <w:szCs w:val="20"/>
              </w:rPr>
            </w:pPr>
            <w:r w:rsidRPr="006568A3">
              <w:rPr>
                <w:sz w:val="20"/>
                <w:szCs w:val="20"/>
              </w:rPr>
              <w:t>9.2.5. Duração da licença de maternidade / paternidade</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sz w:val="20"/>
                <w:szCs w:val="20"/>
              </w:rPr>
            </w:pPr>
          </w:p>
        </w:tc>
        <w:tc>
          <w:tcPr>
            <w:tcW w:w="1423" w:type="dxa"/>
            <w:vMerge w:val="restart"/>
            <w:vAlign w:val="center"/>
          </w:tcPr>
          <w:p w:rsidR="002F0FFA" w:rsidRPr="00C90523" w:rsidRDefault="002F0FFA" w:rsidP="002F0FFA">
            <w:pPr>
              <w:spacing w:after="0" w:line="240" w:lineRule="auto"/>
              <w:jc w:val="center"/>
              <w:rPr>
                <w:sz w:val="20"/>
                <w:szCs w:val="20"/>
              </w:rPr>
            </w:pPr>
            <w:r w:rsidRPr="00C90523">
              <w:rPr>
                <w:sz w:val="20"/>
                <w:szCs w:val="20"/>
              </w:rPr>
              <w:t>2008</w:t>
            </w:r>
          </w:p>
          <w:p w:rsidR="002F0FFA" w:rsidRPr="00861276" w:rsidRDefault="002F0FFA" w:rsidP="002F0FFA">
            <w:pPr>
              <w:spacing w:after="0" w:line="240" w:lineRule="auto"/>
              <w:jc w:val="center"/>
              <w:rPr>
                <w:sz w:val="20"/>
                <w:szCs w:val="20"/>
              </w:rPr>
            </w:pPr>
            <w:r w:rsidRPr="00861276">
              <w:rPr>
                <w:sz w:val="20"/>
                <w:szCs w:val="20"/>
              </w:rPr>
              <w:t>Código Laboral</w:t>
            </w:r>
          </w:p>
        </w:tc>
        <w:tc>
          <w:tcPr>
            <w:tcW w:w="793" w:type="dxa"/>
            <w:vMerge w:val="restart"/>
            <w:vAlign w:val="center"/>
          </w:tcPr>
          <w:p w:rsidR="002F0FFA" w:rsidRPr="00C90523" w:rsidRDefault="002F0FFA" w:rsidP="002F0FFA">
            <w:pPr>
              <w:spacing w:after="0" w:line="240" w:lineRule="auto"/>
              <w:jc w:val="center"/>
              <w:rPr>
                <w:sz w:val="16"/>
                <w:szCs w:val="16"/>
              </w:rPr>
            </w:pPr>
          </w:p>
        </w:tc>
      </w:tr>
      <w:tr w:rsidR="002F0FFA" w:rsidRPr="00C90523" w:rsidTr="002F0FFA">
        <w:trPr>
          <w:trHeight w:val="276"/>
        </w:trPr>
        <w:tc>
          <w:tcPr>
            <w:tcW w:w="7054" w:type="dxa"/>
            <w:shd w:val="clear" w:color="auto" w:fill="FDE9D9" w:themeFill="accent6" w:themeFillTint="33"/>
            <w:noWrap/>
          </w:tcPr>
          <w:p w:rsidR="002F0FFA" w:rsidRPr="00C90523" w:rsidRDefault="002F0FFA" w:rsidP="002F0FFA">
            <w:pPr>
              <w:spacing w:after="0" w:line="240" w:lineRule="auto"/>
              <w:jc w:val="right"/>
              <w:rPr>
                <w:sz w:val="20"/>
                <w:szCs w:val="20"/>
              </w:rPr>
            </w:pPr>
            <w:r w:rsidRPr="00C90523">
              <w:rPr>
                <w:sz w:val="20"/>
                <w:szCs w:val="20"/>
              </w:rPr>
              <w:t>Maternidade</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sz w:val="20"/>
                <w:szCs w:val="20"/>
              </w:rPr>
            </w:pPr>
            <w:r w:rsidRPr="00C90523">
              <w:rPr>
                <w:sz w:val="20"/>
                <w:szCs w:val="20"/>
              </w:rPr>
              <w:t>60 dias</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16"/>
                <w:szCs w:val="16"/>
              </w:rPr>
            </w:pPr>
          </w:p>
        </w:tc>
      </w:tr>
      <w:tr w:rsidR="002F0FFA" w:rsidRPr="00C90523" w:rsidTr="002F0FFA">
        <w:trPr>
          <w:trHeight w:val="276"/>
        </w:trPr>
        <w:tc>
          <w:tcPr>
            <w:tcW w:w="7054" w:type="dxa"/>
            <w:shd w:val="clear" w:color="auto" w:fill="FDE9D9" w:themeFill="accent6" w:themeFillTint="33"/>
            <w:noWrap/>
          </w:tcPr>
          <w:p w:rsidR="002F0FFA" w:rsidRPr="00C90523" w:rsidRDefault="002F0FFA" w:rsidP="002F0FFA">
            <w:pPr>
              <w:spacing w:after="0" w:line="240" w:lineRule="auto"/>
              <w:jc w:val="right"/>
              <w:rPr>
                <w:sz w:val="20"/>
                <w:szCs w:val="20"/>
              </w:rPr>
            </w:pPr>
            <w:r w:rsidRPr="00C90523">
              <w:rPr>
                <w:sz w:val="20"/>
                <w:szCs w:val="20"/>
              </w:rPr>
              <w:t>Paternidade</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sz w:val="20"/>
                <w:szCs w:val="20"/>
              </w:rPr>
            </w:pPr>
            <w:r w:rsidRPr="00C90523">
              <w:rPr>
                <w:sz w:val="20"/>
                <w:szCs w:val="20"/>
              </w:rPr>
              <w:t>Não existe</w:t>
            </w:r>
            <w:r w:rsidRPr="00C90523">
              <w:rPr>
                <w:rStyle w:val="Refdenotaderodap"/>
                <w:sz w:val="20"/>
                <w:szCs w:val="20"/>
              </w:rPr>
              <w:footnoteReference w:id="73"/>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16"/>
                <w:szCs w:val="16"/>
              </w:rPr>
            </w:pPr>
          </w:p>
        </w:tc>
      </w:tr>
      <w:tr w:rsidR="002F0FFA" w:rsidRPr="00C90523" w:rsidTr="002F0FFA">
        <w:trPr>
          <w:trHeight w:val="276"/>
        </w:trPr>
        <w:tc>
          <w:tcPr>
            <w:tcW w:w="7054" w:type="dxa"/>
            <w:shd w:val="clear" w:color="auto" w:fill="D9D9D9" w:themeFill="background1" w:themeFillShade="D9"/>
            <w:noWrap/>
          </w:tcPr>
          <w:p w:rsidR="002F0FFA" w:rsidRPr="00C90523" w:rsidRDefault="006568A3" w:rsidP="002F0FFA">
            <w:pPr>
              <w:spacing w:after="0" w:line="240" w:lineRule="auto"/>
              <w:rPr>
                <w:sz w:val="20"/>
                <w:szCs w:val="20"/>
              </w:rPr>
            </w:pPr>
            <w:r w:rsidRPr="006568A3">
              <w:rPr>
                <w:sz w:val="20"/>
                <w:szCs w:val="20"/>
              </w:rPr>
              <w:t>9.2.6. Percentagem do salário abonado durante licença maternidade / paternidade</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sz w:val="20"/>
                <w:szCs w:val="20"/>
              </w:rPr>
            </w:pPr>
            <w:r w:rsidRPr="00C90523">
              <w:rPr>
                <w:sz w:val="20"/>
                <w:szCs w:val="20"/>
              </w:rPr>
              <w:t>90</w:t>
            </w:r>
            <w:r w:rsidRPr="00C90523">
              <w:rPr>
                <w:rStyle w:val="Refdenotaderodap"/>
                <w:sz w:val="20"/>
                <w:szCs w:val="20"/>
              </w:rPr>
              <w:footnoteReference w:id="74"/>
            </w:r>
          </w:p>
        </w:tc>
        <w:tc>
          <w:tcPr>
            <w:tcW w:w="1423" w:type="dxa"/>
            <w:vAlign w:val="center"/>
          </w:tcPr>
          <w:p w:rsidR="002F0FFA" w:rsidRPr="00C90523" w:rsidRDefault="006568A3" w:rsidP="002F0FFA">
            <w:pPr>
              <w:autoSpaceDE w:val="0"/>
              <w:autoSpaceDN w:val="0"/>
              <w:adjustRightInd w:val="0"/>
              <w:spacing w:after="0" w:line="240" w:lineRule="auto"/>
              <w:jc w:val="center"/>
              <w:rPr>
                <w:sz w:val="16"/>
                <w:szCs w:val="16"/>
              </w:rPr>
            </w:pPr>
            <w:r w:rsidRPr="006568A3">
              <w:rPr>
                <w:rFonts w:cs="Times New Roman"/>
                <w:color w:val="000000"/>
                <w:sz w:val="16"/>
                <w:szCs w:val="16"/>
              </w:rPr>
              <w:t xml:space="preserve"> INPS, </w:t>
            </w:r>
            <w:r w:rsidRPr="006568A3">
              <w:rPr>
                <w:rFonts w:cs="Times New Roman"/>
                <w:bCs/>
                <w:color w:val="000000"/>
                <w:sz w:val="16"/>
                <w:szCs w:val="16"/>
              </w:rPr>
              <w:t>Decreto-Lei nº5/2004, 16 Fev</w:t>
            </w:r>
          </w:p>
        </w:tc>
        <w:tc>
          <w:tcPr>
            <w:tcW w:w="793" w:type="dxa"/>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 xml:space="preserve">9.3. Compromisso do país com a igualdade de género na vida pública e na tomada de decisões </w:t>
            </w:r>
          </w:p>
        </w:tc>
        <w:tc>
          <w:tcPr>
            <w:tcW w:w="1423" w:type="dxa"/>
            <w:vAlign w:val="center"/>
          </w:tcPr>
          <w:p w:rsidR="002F0FFA" w:rsidRPr="00C90523" w:rsidRDefault="002F0FFA" w:rsidP="002F0FFA">
            <w:pPr>
              <w:spacing w:after="0" w:line="240" w:lineRule="auto"/>
              <w:jc w:val="center"/>
              <w:rPr>
                <w:sz w:val="20"/>
                <w:szCs w:val="20"/>
              </w:rPr>
            </w:pPr>
          </w:p>
        </w:tc>
        <w:tc>
          <w:tcPr>
            <w:tcW w:w="793" w:type="dxa"/>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Existência de cotas /outras medidas legais no parlamento</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Não</w:t>
            </w:r>
          </w:p>
        </w:tc>
        <w:tc>
          <w:tcPr>
            <w:tcW w:w="1423" w:type="dxa"/>
            <w:vMerge w:val="restart"/>
            <w:vAlign w:val="center"/>
          </w:tcPr>
          <w:p w:rsidR="002F0FFA" w:rsidRPr="00C90523" w:rsidRDefault="002F0FFA" w:rsidP="002F0FFA">
            <w:pPr>
              <w:spacing w:after="0" w:line="240" w:lineRule="auto"/>
              <w:jc w:val="center"/>
              <w:rPr>
                <w:sz w:val="20"/>
                <w:szCs w:val="20"/>
              </w:rPr>
            </w:pPr>
            <w:r w:rsidRPr="00C90523">
              <w:rPr>
                <w:sz w:val="20"/>
                <w:szCs w:val="20"/>
              </w:rPr>
              <w:t>Legislação em vigor</w:t>
            </w:r>
          </w:p>
        </w:tc>
        <w:tc>
          <w:tcPr>
            <w:tcW w:w="793" w:type="dxa"/>
            <w:vMerge w:val="restart"/>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Existência de cotas/outras medidas legais a nível dos partidos políticos</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8466"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9.4. Compromisso do país com os direitos das mulheres e das meninas</w:t>
            </w:r>
          </w:p>
        </w:tc>
        <w:tc>
          <w:tcPr>
            <w:tcW w:w="1423" w:type="dxa"/>
            <w:vMerge w:val="restart"/>
            <w:vAlign w:val="center"/>
          </w:tcPr>
          <w:p w:rsidR="002F0FFA" w:rsidRPr="00861276" w:rsidRDefault="002F0FFA" w:rsidP="002F0FFA">
            <w:pPr>
              <w:spacing w:after="0" w:line="240" w:lineRule="auto"/>
              <w:jc w:val="center"/>
              <w:rPr>
                <w:sz w:val="20"/>
                <w:szCs w:val="20"/>
              </w:rPr>
            </w:pPr>
            <w:r w:rsidRPr="00C90523">
              <w:rPr>
                <w:sz w:val="20"/>
                <w:szCs w:val="20"/>
              </w:rPr>
              <w:t>Legislação em vigor</w:t>
            </w:r>
          </w:p>
        </w:tc>
        <w:tc>
          <w:tcPr>
            <w:tcW w:w="793" w:type="dxa"/>
            <w:vMerge w:val="restart"/>
            <w:vAlign w:val="bottom"/>
          </w:tcPr>
          <w:p w:rsidR="002F0FFA" w:rsidRPr="00C90523" w:rsidRDefault="006568A3" w:rsidP="002F0FFA">
            <w:pPr>
              <w:spacing w:after="0" w:line="240" w:lineRule="auto"/>
              <w:jc w:val="center"/>
              <w:rPr>
                <w:sz w:val="16"/>
                <w:szCs w:val="16"/>
              </w:rPr>
            </w:pPr>
            <w:r w:rsidRPr="006568A3">
              <w:rPr>
                <w:sz w:val="16"/>
                <w:szCs w:val="16"/>
              </w:rPr>
              <w:t>Lei Especial sobre VBG</w:t>
            </w:r>
            <w:r w:rsidRPr="006568A3">
              <w:rPr>
                <w:rFonts w:ascii="Times New Roman" w:hAnsi="Times New Roman"/>
                <w:sz w:val="24"/>
                <w:szCs w:val="24"/>
              </w:rPr>
              <w:t xml:space="preserve"> </w:t>
            </w:r>
            <w:r w:rsidRPr="006568A3">
              <w:rPr>
                <w:sz w:val="16"/>
                <w:szCs w:val="16"/>
              </w:rPr>
              <w:t>Lei 84/VII/</w:t>
            </w:r>
          </w:p>
          <w:p w:rsidR="002F0FFA" w:rsidRPr="00861276" w:rsidRDefault="002F0FFA" w:rsidP="002F0FFA">
            <w:pPr>
              <w:spacing w:after="0" w:line="240" w:lineRule="auto"/>
              <w:jc w:val="center"/>
              <w:rPr>
                <w:sz w:val="16"/>
                <w:szCs w:val="16"/>
              </w:rPr>
            </w:pPr>
            <w:r w:rsidRPr="00C90523">
              <w:rPr>
                <w:sz w:val="16"/>
                <w:szCs w:val="16"/>
              </w:rPr>
              <w:t>20</w:t>
            </w:r>
            <w:r w:rsidRPr="00861276">
              <w:rPr>
                <w:sz w:val="16"/>
                <w:szCs w:val="16"/>
              </w:rPr>
              <w:t>11</w:t>
            </w: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Existência de reservas ao Artº 16 da CEDAW (igualdade no casamento e relações familiares)</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Discriminação das mulheres e meninas nos direitos de sucessão</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Não</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Existência de Leis sobre VBG</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Sim</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rPr>
              <w:t>Idade mínima legal para contrair matrimónio</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Sim</w:t>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Align w:val="center"/>
          </w:tcPr>
          <w:p w:rsidR="002F0FFA" w:rsidRPr="00C90523" w:rsidRDefault="002F0FFA" w:rsidP="002F0FFA">
            <w:pPr>
              <w:spacing w:after="0" w:line="240" w:lineRule="auto"/>
              <w:jc w:val="center"/>
              <w:rPr>
                <w:sz w:val="16"/>
                <w:szCs w:val="16"/>
              </w:rPr>
            </w:pPr>
            <w:r w:rsidRPr="00C90523">
              <w:rPr>
                <w:sz w:val="16"/>
                <w:szCs w:val="16"/>
              </w:rPr>
              <w:t>16 anos</w:t>
            </w:r>
          </w:p>
        </w:tc>
      </w:tr>
      <w:tr w:rsidR="002F0FFA" w:rsidRPr="00C90523" w:rsidTr="002F0FFA">
        <w:trPr>
          <w:trHeight w:val="276"/>
        </w:trPr>
        <w:tc>
          <w:tcPr>
            <w:tcW w:w="8466" w:type="dxa"/>
            <w:gridSpan w:val="2"/>
            <w:shd w:val="clear" w:color="auto" w:fill="D9D9D9" w:themeFill="background1" w:themeFillShade="D9"/>
            <w:noWrap/>
            <w:vAlign w:val="center"/>
          </w:tcPr>
          <w:p w:rsidR="002F0FFA" w:rsidRPr="00C90523" w:rsidRDefault="006568A3" w:rsidP="002F0FFA">
            <w:pPr>
              <w:spacing w:after="0" w:line="240" w:lineRule="auto"/>
              <w:rPr>
                <w:sz w:val="20"/>
                <w:szCs w:val="20"/>
              </w:rPr>
            </w:pPr>
            <w:r w:rsidRPr="006568A3">
              <w:rPr>
                <w:sz w:val="20"/>
                <w:szCs w:val="20"/>
              </w:rPr>
              <w:t>9.5. Mecanismos institucionais para a igualdade de género</w:t>
            </w:r>
          </w:p>
        </w:tc>
        <w:tc>
          <w:tcPr>
            <w:tcW w:w="1423" w:type="dxa"/>
            <w:vMerge w:val="restart"/>
            <w:vAlign w:val="center"/>
          </w:tcPr>
          <w:p w:rsidR="002F0FFA" w:rsidRPr="00C90523" w:rsidRDefault="006568A3" w:rsidP="002F0FFA">
            <w:pPr>
              <w:spacing w:after="0" w:line="240" w:lineRule="auto"/>
              <w:jc w:val="center"/>
              <w:rPr>
                <w:sz w:val="16"/>
                <w:szCs w:val="16"/>
              </w:rPr>
            </w:pPr>
            <w:r w:rsidRPr="006568A3">
              <w:rPr>
                <w:sz w:val="16"/>
                <w:szCs w:val="16"/>
              </w:rPr>
              <w:t>Observatório da Igualdade de Género</w:t>
            </w:r>
          </w:p>
        </w:tc>
        <w:tc>
          <w:tcPr>
            <w:tcW w:w="793" w:type="dxa"/>
            <w:vMerge w:val="restart"/>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rPr>
              <w:t xml:space="preserve">Nível hierárquico do mecanismo nacional para a igualdade de género (ICIEG) </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sz w:val="20"/>
                <w:szCs w:val="20"/>
              </w:rPr>
            </w:pPr>
            <w:r w:rsidRPr="00C90523">
              <w:rPr>
                <w:sz w:val="20"/>
                <w:szCs w:val="20"/>
              </w:rPr>
              <w:t>2</w:t>
            </w:r>
            <w:r w:rsidRPr="00C90523">
              <w:rPr>
                <w:rStyle w:val="Refdenotaderodap"/>
                <w:sz w:val="20"/>
                <w:szCs w:val="20"/>
              </w:rPr>
              <w:footnoteReference w:id="75"/>
            </w:r>
          </w:p>
        </w:tc>
        <w:tc>
          <w:tcPr>
            <w:tcW w:w="1423" w:type="dxa"/>
            <w:vMerge/>
            <w:vAlign w:val="center"/>
          </w:tcPr>
          <w:p w:rsidR="002F0FFA" w:rsidRPr="00C90523" w:rsidRDefault="002F0FFA" w:rsidP="002F0FFA">
            <w:pPr>
              <w:spacing w:after="0" w:line="240" w:lineRule="auto"/>
              <w:jc w:val="center"/>
              <w:rPr>
                <w:sz w:val="20"/>
                <w:szCs w:val="20"/>
              </w:rPr>
            </w:pPr>
          </w:p>
        </w:tc>
        <w:tc>
          <w:tcPr>
            <w:tcW w:w="793" w:type="dxa"/>
            <w:vMerge/>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DE9D9" w:themeFill="accent6" w:themeFillTint="33"/>
            <w:noWrap/>
          </w:tcPr>
          <w:p w:rsidR="002F0FFA" w:rsidRPr="00C90523" w:rsidRDefault="006568A3" w:rsidP="002F0FFA">
            <w:pPr>
              <w:spacing w:after="0" w:line="240" w:lineRule="auto"/>
              <w:jc w:val="right"/>
              <w:rPr>
                <w:sz w:val="20"/>
                <w:szCs w:val="20"/>
              </w:rPr>
            </w:pPr>
            <w:r w:rsidRPr="006568A3">
              <w:rPr>
                <w:sz w:val="20"/>
                <w:szCs w:val="20"/>
                <w:shd w:val="clear" w:color="auto" w:fill="FDE9D9" w:themeFill="accent6" w:themeFillTint="33"/>
              </w:rPr>
              <w:t>Nº de instituições/sectores que têm mecanismos promotores da igualdade de</w:t>
            </w:r>
            <w:r w:rsidRPr="006568A3">
              <w:rPr>
                <w:sz w:val="20"/>
                <w:szCs w:val="20"/>
              </w:rPr>
              <w:t xml:space="preserve"> género com uma hierarquia ao nível de tomada de decisão</w:t>
            </w:r>
            <w:r w:rsidR="002F0FFA" w:rsidRPr="00C90523">
              <w:rPr>
                <w:rStyle w:val="Refdenotaderodap"/>
                <w:sz w:val="20"/>
                <w:szCs w:val="20"/>
              </w:rPr>
              <w:footnoteReference w:id="76"/>
            </w:r>
            <w:r w:rsidRPr="006568A3">
              <w:rPr>
                <w:sz w:val="20"/>
                <w:szCs w:val="20"/>
              </w:rPr>
              <w:t xml:space="preserve"> </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3</w:t>
            </w:r>
          </w:p>
        </w:tc>
        <w:tc>
          <w:tcPr>
            <w:tcW w:w="1423" w:type="dxa"/>
            <w:vAlign w:val="center"/>
          </w:tcPr>
          <w:p w:rsidR="002F0FFA" w:rsidRPr="00C90523" w:rsidRDefault="002F0FFA" w:rsidP="002F0FFA">
            <w:pPr>
              <w:spacing w:after="0" w:line="240" w:lineRule="auto"/>
              <w:jc w:val="center"/>
              <w:rPr>
                <w:sz w:val="20"/>
                <w:szCs w:val="20"/>
              </w:rPr>
            </w:pPr>
            <w:r w:rsidRPr="00C90523">
              <w:rPr>
                <w:sz w:val="20"/>
                <w:szCs w:val="20"/>
              </w:rPr>
              <w:t>2014</w:t>
            </w:r>
          </w:p>
          <w:p w:rsidR="002F0FFA" w:rsidRPr="00C90523" w:rsidRDefault="002F0FFA" w:rsidP="002F0FFA">
            <w:pPr>
              <w:spacing w:after="0" w:line="240" w:lineRule="auto"/>
              <w:jc w:val="center"/>
              <w:rPr>
                <w:sz w:val="20"/>
                <w:szCs w:val="20"/>
              </w:rPr>
            </w:pPr>
            <w:r w:rsidRPr="00C90523">
              <w:rPr>
                <w:sz w:val="20"/>
                <w:szCs w:val="20"/>
              </w:rPr>
              <w:t>CTA</w:t>
            </w:r>
          </w:p>
        </w:tc>
        <w:tc>
          <w:tcPr>
            <w:tcW w:w="793" w:type="dxa"/>
            <w:vAlign w:val="center"/>
          </w:tcPr>
          <w:p w:rsidR="002F0FFA" w:rsidRPr="00C90523" w:rsidRDefault="002F0FFA" w:rsidP="002F0FFA">
            <w:pPr>
              <w:spacing w:after="0" w:line="240" w:lineRule="auto"/>
              <w:jc w:val="center"/>
              <w:rPr>
                <w:sz w:val="16"/>
                <w:szCs w:val="16"/>
              </w:rPr>
            </w:pPr>
          </w:p>
        </w:tc>
      </w:tr>
      <w:tr w:rsidR="002F0FFA" w:rsidRPr="00C90523" w:rsidTr="002F0FFA">
        <w:trPr>
          <w:trHeight w:val="276"/>
        </w:trPr>
        <w:tc>
          <w:tcPr>
            <w:tcW w:w="7054" w:type="dxa"/>
            <w:shd w:val="clear" w:color="auto" w:fill="FDE9D9" w:themeFill="accent6" w:themeFillTint="33"/>
            <w:noWrap/>
            <w:vAlign w:val="center"/>
          </w:tcPr>
          <w:p w:rsidR="002F0FFA" w:rsidRPr="00C90523" w:rsidRDefault="006568A3" w:rsidP="002F0FFA">
            <w:pPr>
              <w:spacing w:after="0" w:line="240" w:lineRule="auto"/>
              <w:jc w:val="right"/>
              <w:rPr>
                <w:sz w:val="20"/>
                <w:szCs w:val="20"/>
              </w:rPr>
            </w:pPr>
            <w:r w:rsidRPr="006568A3">
              <w:rPr>
                <w:sz w:val="20"/>
                <w:szCs w:val="20"/>
                <w:shd w:val="clear" w:color="auto" w:fill="FDE9D9" w:themeFill="accent6" w:themeFillTint="33"/>
              </w:rPr>
              <w:t>Orçamento do mecanismo nacional de igualdade de género (ECV)</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sz w:val="20"/>
                <w:szCs w:val="20"/>
              </w:rPr>
            </w:pPr>
            <w:r w:rsidRPr="00C90523">
              <w:rPr>
                <w:sz w:val="20"/>
                <w:szCs w:val="20"/>
              </w:rPr>
              <w:t>29.691</w:t>
            </w:r>
            <w:r w:rsidRPr="00861276">
              <w:rPr>
                <w:sz w:val="20"/>
                <w:szCs w:val="20"/>
              </w:rPr>
              <w:t xml:space="preserve">.000 </w:t>
            </w:r>
          </w:p>
        </w:tc>
        <w:tc>
          <w:tcPr>
            <w:tcW w:w="1423" w:type="dxa"/>
            <w:vMerge w:val="restart"/>
            <w:vAlign w:val="center"/>
          </w:tcPr>
          <w:p w:rsidR="002F0FFA" w:rsidRPr="00C90523" w:rsidRDefault="002F0FFA" w:rsidP="002F0FFA">
            <w:pPr>
              <w:spacing w:after="0" w:line="240" w:lineRule="auto"/>
              <w:jc w:val="center"/>
              <w:rPr>
                <w:sz w:val="20"/>
                <w:szCs w:val="20"/>
              </w:rPr>
            </w:pPr>
            <w:r w:rsidRPr="00C90523">
              <w:rPr>
                <w:sz w:val="20"/>
                <w:szCs w:val="20"/>
              </w:rPr>
              <w:t>2013</w:t>
            </w:r>
          </w:p>
          <w:p w:rsidR="002F0FFA" w:rsidRPr="00C90523" w:rsidRDefault="002F0FFA" w:rsidP="002F0FFA">
            <w:pPr>
              <w:spacing w:after="0" w:line="240" w:lineRule="auto"/>
              <w:jc w:val="center"/>
              <w:rPr>
                <w:sz w:val="20"/>
                <w:szCs w:val="20"/>
              </w:rPr>
            </w:pPr>
            <w:r w:rsidRPr="00C90523">
              <w:rPr>
                <w:sz w:val="20"/>
                <w:szCs w:val="20"/>
              </w:rPr>
              <w:t>ICIEG</w:t>
            </w:r>
          </w:p>
        </w:tc>
        <w:tc>
          <w:tcPr>
            <w:tcW w:w="793" w:type="dxa"/>
            <w:vMerge w:val="restart"/>
            <w:vAlign w:val="center"/>
          </w:tcPr>
          <w:p w:rsidR="002F0FFA" w:rsidRPr="00C90523" w:rsidRDefault="002F0FFA" w:rsidP="002F0FFA">
            <w:pPr>
              <w:spacing w:after="0" w:line="240" w:lineRule="auto"/>
              <w:jc w:val="center"/>
              <w:rPr>
                <w:sz w:val="20"/>
                <w:szCs w:val="20"/>
              </w:rPr>
            </w:pPr>
          </w:p>
        </w:tc>
      </w:tr>
      <w:tr w:rsidR="002F0FFA" w:rsidRPr="00C90523" w:rsidTr="002F0FFA">
        <w:trPr>
          <w:trHeight w:val="276"/>
        </w:trPr>
        <w:tc>
          <w:tcPr>
            <w:tcW w:w="7054" w:type="dxa"/>
            <w:shd w:val="clear" w:color="auto" w:fill="F2DBDB" w:themeFill="accent2" w:themeFillTint="33"/>
            <w:noWrap/>
            <w:vAlign w:val="center"/>
          </w:tcPr>
          <w:p w:rsidR="002F0FFA" w:rsidRPr="00C90523" w:rsidRDefault="002F0FFA" w:rsidP="002F0FFA">
            <w:pPr>
              <w:spacing w:after="0" w:line="240" w:lineRule="auto"/>
              <w:jc w:val="right"/>
              <w:rPr>
                <w:i/>
                <w:sz w:val="16"/>
                <w:szCs w:val="16"/>
              </w:rPr>
            </w:pPr>
            <w:r w:rsidRPr="00C90523">
              <w:rPr>
                <w:i/>
                <w:sz w:val="16"/>
                <w:szCs w:val="16"/>
              </w:rPr>
              <w:t xml:space="preserve">Orçamento de funcionamento (ECV) </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i/>
                <w:sz w:val="16"/>
                <w:szCs w:val="16"/>
              </w:rPr>
            </w:pPr>
            <w:r w:rsidRPr="00C90523">
              <w:rPr>
                <w:i/>
                <w:sz w:val="16"/>
                <w:szCs w:val="16"/>
              </w:rPr>
              <w:t>12.114.000</w:t>
            </w:r>
          </w:p>
        </w:tc>
        <w:tc>
          <w:tcPr>
            <w:tcW w:w="1423" w:type="dxa"/>
            <w:vMerge/>
            <w:vAlign w:val="center"/>
          </w:tcPr>
          <w:p w:rsidR="002F0FFA" w:rsidRPr="00C90523" w:rsidRDefault="002F0FFA" w:rsidP="002F0FFA">
            <w:pPr>
              <w:spacing w:after="0" w:line="240" w:lineRule="auto"/>
              <w:jc w:val="right"/>
              <w:rPr>
                <w:i/>
                <w:sz w:val="16"/>
                <w:szCs w:val="16"/>
              </w:rPr>
            </w:pPr>
          </w:p>
        </w:tc>
        <w:tc>
          <w:tcPr>
            <w:tcW w:w="793" w:type="dxa"/>
            <w:vMerge/>
            <w:vAlign w:val="center"/>
          </w:tcPr>
          <w:p w:rsidR="002F0FFA" w:rsidRPr="00C90523" w:rsidRDefault="002F0FFA" w:rsidP="002F0FFA">
            <w:pPr>
              <w:spacing w:after="0" w:line="240" w:lineRule="auto"/>
              <w:jc w:val="right"/>
              <w:rPr>
                <w:i/>
                <w:sz w:val="16"/>
                <w:szCs w:val="16"/>
              </w:rPr>
            </w:pPr>
          </w:p>
        </w:tc>
      </w:tr>
      <w:tr w:rsidR="002F0FFA" w:rsidRPr="00C90523" w:rsidTr="002F0FFA">
        <w:trPr>
          <w:trHeight w:val="276"/>
        </w:trPr>
        <w:tc>
          <w:tcPr>
            <w:tcW w:w="7054" w:type="dxa"/>
            <w:shd w:val="clear" w:color="auto" w:fill="F2DBDB" w:themeFill="accent2" w:themeFillTint="33"/>
            <w:noWrap/>
            <w:vAlign w:val="center"/>
          </w:tcPr>
          <w:p w:rsidR="002F0FFA" w:rsidRPr="00C90523" w:rsidRDefault="006568A3" w:rsidP="002F0FFA">
            <w:pPr>
              <w:spacing w:after="0" w:line="240" w:lineRule="auto"/>
              <w:jc w:val="right"/>
              <w:rPr>
                <w:i/>
                <w:sz w:val="16"/>
                <w:szCs w:val="16"/>
              </w:rPr>
            </w:pPr>
            <w:r w:rsidRPr="006568A3">
              <w:rPr>
                <w:i/>
                <w:sz w:val="16"/>
                <w:szCs w:val="16"/>
              </w:rPr>
              <w:t xml:space="preserve">Orçamento de investimento do estado (ECV) </w:t>
            </w:r>
          </w:p>
        </w:tc>
        <w:tc>
          <w:tcPr>
            <w:tcW w:w="1412" w:type="dxa"/>
            <w:shd w:val="clear" w:color="auto" w:fill="FABF8F" w:themeFill="accent6" w:themeFillTint="99"/>
            <w:vAlign w:val="center"/>
          </w:tcPr>
          <w:p w:rsidR="002F0FFA" w:rsidRPr="00861276" w:rsidRDefault="002F0FFA" w:rsidP="002F0FFA">
            <w:pPr>
              <w:spacing w:after="0" w:line="240" w:lineRule="auto"/>
              <w:jc w:val="center"/>
              <w:rPr>
                <w:i/>
                <w:sz w:val="16"/>
                <w:szCs w:val="16"/>
              </w:rPr>
            </w:pPr>
            <w:r w:rsidRPr="00C90523">
              <w:rPr>
                <w:i/>
                <w:sz w:val="16"/>
                <w:szCs w:val="16"/>
              </w:rPr>
              <w:t>4.500</w:t>
            </w:r>
            <w:r w:rsidRPr="00861276">
              <w:rPr>
                <w:i/>
                <w:sz w:val="16"/>
                <w:szCs w:val="16"/>
              </w:rPr>
              <w:t>.000</w:t>
            </w:r>
          </w:p>
        </w:tc>
        <w:tc>
          <w:tcPr>
            <w:tcW w:w="1423" w:type="dxa"/>
            <w:vMerge/>
            <w:vAlign w:val="center"/>
          </w:tcPr>
          <w:p w:rsidR="002F0FFA" w:rsidRPr="00C90523" w:rsidRDefault="002F0FFA" w:rsidP="002F0FFA">
            <w:pPr>
              <w:spacing w:after="0" w:line="240" w:lineRule="auto"/>
              <w:jc w:val="right"/>
              <w:rPr>
                <w:i/>
                <w:sz w:val="16"/>
                <w:szCs w:val="16"/>
              </w:rPr>
            </w:pPr>
          </w:p>
        </w:tc>
        <w:tc>
          <w:tcPr>
            <w:tcW w:w="793" w:type="dxa"/>
            <w:vMerge/>
            <w:vAlign w:val="center"/>
          </w:tcPr>
          <w:p w:rsidR="002F0FFA" w:rsidRPr="00C90523" w:rsidRDefault="002F0FFA" w:rsidP="002F0FFA">
            <w:pPr>
              <w:spacing w:after="0" w:line="240" w:lineRule="auto"/>
              <w:jc w:val="right"/>
              <w:rPr>
                <w:i/>
                <w:sz w:val="16"/>
                <w:szCs w:val="16"/>
              </w:rPr>
            </w:pPr>
          </w:p>
        </w:tc>
      </w:tr>
      <w:tr w:rsidR="002F0FFA" w:rsidRPr="00C90523" w:rsidTr="002F0FFA">
        <w:trPr>
          <w:trHeight w:val="276"/>
        </w:trPr>
        <w:tc>
          <w:tcPr>
            <w:tcW w:w="7054" w:type="dxa"/>
            <w:shd w:val="clear" w:color="auto" w:fill="F2DBDB" w:themeFill="accent2" w:themeFillTint="33"/>
            <w:noWrap/>
            <w:vAlign w:val="center"/>
          </w:tcPr>
          <w:p w:rsidR="002F0FFA" w:rsidRPr="00C90523" w:rsidRDefault="002F0FFA" w:rsidP="002F0FFA">
            <w:pPr>
              <w:spacing w:after="0" w:line="240" w:lineRule="auto"/>
              <w:jc w:val="right"/>
              <w:rPr>
                <w:i/>
                <w:sz w:val="16"/>
                <w:szCs w:val="16"/>
              </w:rPr>
            </w:pPr>
            <w:r w:rsidRPr="00C90523">
              <w:rPr>
                <w:i/>
                <w:sz w:val="16"/>
                <w:szCs w:val="16"/>
              </w:rPr>
              <w:t xml:space="preserve">Parceiros internacionais (ECV) </w:t>
            </w:r>
          </w:p>
        </w:tc>
        <w:tc>
          <w:tcPr>
            <w:tcW w:w="1412" w:type="dxa"/>
            <w:shd w:val="clear" w:color="auto" w:fill="FABF8F" w:themeFill="accent6" w:themeFillTint="99"/>
            <w:vAlign w:val="center"/>
          </w:tcPr>
          <w:p w:rsidR="002F0FFA" w:rsidRPr="00C90523" w:rsidRDefault="002F0FFA" w:rsidP="002F0FFA">
            <w:pPr>
              <w:spacing w:after="0" w:line="240" w:lineRule="auto"/>
              <w:jc w:val="center"/>
              <w:rPr>
                <w:i/>
                <w:sz w:val="16"/>
                <w:szCs w:val="16"/>
              </w:rPr>
            </w:pPr>
            <w:r w:rsidRPr="00C90523">
              <w:rPr>
                <w:i/>
                <w:sz w:val="16"/>
                <w:szCs w:val="16"/>
              </w:rPr>
              <w:t>13.077.000</w:t>
            </w:r>
          </w:p>
        </w:tc>
        <w:tc>
          <w:tcPr>
            <w:tcW w:w="1423" w:type="dxa"/>
            <w:vMerge/>
            <w:vAlign w:val="center"/>
          </w:tcPr>
          <w:p w:rsidR="002F0FFA" w:rsidRPr="00C90523" w:rsidRDefault="002F0FFA" w:rsidP="002F0FFA">
            <w:pPr>
              <w:spacing w:after="0" w:line="240" w:lineRule="auto"/>
              <w:jc w:val="right"/>
              <w:rPr>
                <w:i/>
                <w:sz w:val="16"/>
                <w:szCs w:val="16"/>
              </w:rPr>
            </w:pPr>
          </w:p>
        </w:tc>
        <w:tc>
          <w:tcPr>
            <w:tcW w:w="793" w:type="dxa"/>
            <w:vMerge/>
            <w:vAlign w:val="center"/>
          </w:tcPr>
          <w:p w:rsidR="002F0FFA" w:rsidRPr="00C90523" w:rsidRDefault="002F0FFA" w:rsidP="002F0FFA">
            <w:pPr>
              <w:spacing w:after="0" w:line="240" w:lineRule="auto"/>
              <w:jc w:val="right"/>
              <w:rPr>
                <w:i/>
                <w:sz w:val="16"/>
                <w:szCs w:val="16"/>
              </w:rPr>
            </w:pPr>
          </w:p>
        </w:tc>
      </w:tr>
    </w:tbl>
    <w:p w:rsidR="002F0FFA" w:rsidRPr="00C90523" w:rsidRDefault="002F0FFA" w:rsidP="002F0FFA">
      <w:pPr>
        <w:shd w:val="clear" w:color="auto" w:fill="FFFFFF"/>
        <w:spacing w:after="0"/>
        <w:rPr>
          <w:rFonts w:eastAsia="Times New Roman" w:cs="Helvetica"/>
          <w:b/>
        </w:rPr>
      </w:pPr>
    </w:p>
    <w:p w:rsidR="00833B5F" w:rsidRPr="00C90523" w:rsidRDefault="00833B5F" w:rsidP="005202AB">
      <w:pPr>
        <w:pStyle w:val="Cabealho1"/>
      </w:pPr>
    </w:p>
    <w:p w:rsidR="00E737B6" w:rsidRPr="00C90523" w:rsidRDefault="00E737B6" w:rsidP="00E737B6"/>
    <w:p w:rsidR="00E737B6" w:rsidRPr="00C90523" w:rsidRDefault="00E737B6" w:rsidP="00E737B6">
      <w:pPr>
        <w:sectPr w:rsidR="00E737B6" w:rsidRPr="00C90523" w:rsidSect="00E56BF0">
          <w:pgSz w:w="11906" w:h="17338"/>
          <w:pgMar w:top="720" w:right="720" w:bottom="720" w:left="720" w:header="720" w:footer="720" w:gutter="0"/>
          <w:cols w:space="720"/>
          <w:noEndnote/>
          <w:docGrid w:linePitch="299"/>
        </w:sectPr>
      </w:pPr>
    </w:p>
    <w:p w:rsidR="00E737B6" w:rsidRPr="00C90523" w:rsidRDefault="006568A3" w:rsidP="00E737B6">
      <w:pPr>
        <w:pStyle w:val="Cabealho1"/>
      </w:pPr>
      <w:bookmarkStart w:id="97" w:name="_Toc406667313"/>
      <w:r w:rsidRPr="006568A3">
        <w:t>ANEXO 2: Formato de Relatório para Seguimento e Avaliação</w:t>
      </w:r>
      <w:bookmarkEnd w:id="97"/>
    </w:p>
    <w:p w:rsidR="00E737B6" w:rsidRPr="00C90523" w:rsidRDefault="00001612" w:rsidP="00E737B6">
      <w:r w:rsidRPr="00C90523">
        <w:rPr>
          <w:noProof/>
        </w:rPr>
        <w:drawing>
          <wp:inline distT="0" distB="0" distL="0" distR="0">
            <wp:extent cx="9926999" cy="4867952"/>
            <wp:effectExtent l="1905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srcRect/>
                    <a:stretch>
                      <a:fillRect/>
                    </a:stretch>
                  </pic:blipFill>
                  <pic:spPr bwMode="auto">
                    <a:xfrm>
                      <a:off x="0" y="0"/>
                      <a:ext cx="9930618" cy="4869727"/>
                    </a:xfrm>
                    <a:prstGeom prst="rect">
                      <a:avLst/>
                    </a:prstGeom>
                    <a:noFill/>
                    <a:ln w="9525">
                      <a:noFill/>
                      <a:miter lim="800000"/>
                      <a:headEnd/>
                      <a:tailEnd/>
                    </a:ln>
                  </pic:spPr>
                </pic:pic>
              </a:graphicData>
            </a:graphic>
          </wp:inline>
        </w:drawing>
      </w:r>
    </w:p>
    <w:sectPr w:rsidR="00E737B6" w:rsidRPr="00C90523" w:rsidSect="0012324E">
      <w:pgSz w:w="17338" w:h="11906" w:orient="landscape"/>
      <w:pgMar w:top="1701" w:right="1417" w:bottom="1701"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8E" w:rsidRDefault="001E6F8E" w:rsidP="00761619">
      <w:pPr>
        <w:spacing w:after="0" w:line="240" w:lineRule="auto"/>
      </w:pPr>
      <w:r>
        <w:separator/>
      </w:r>
    </w:p>
  </w:endnote>
  <w:endnote w:type="continuationSeparator" w:id="0">
    <w:p w:rsidR="001E6F8E" w:rsidRDefault="001E6F8E" w:rsidP="0076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arajita">
    <w:altName w:val="Arial"/>
    <w:panose1 w:val="020B0604020202020204"/>
    <w:charset w:val="00"/>
    <w:family w:val="swiss"/>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Frutiger-Black">
    <w:panose1 w:val="00000000000000000000"/>
    <w:charset w:val="00"/>
    <w:family w:val="swiss"/>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heSansLight-Plai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rmata-BoldCondense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5"/>
      <w:gridCol w:w="7609"/>
    </w:tblGrid>
    <w:tr w:rsidR="008A7270">
      <w:tc>
        <w:tcPr>
          <w:tcW w:w="918" w:type="dxa"/>
        </w:tcPr>
        <w:p w:rsidR="008A7270" w:rsidRDefault="008A7270">
          <w:pPr>
            <w:pStyle w:val="Rodap"/>
            <w:jc w:val="right"/>
            <w:rPr>
              <w:b/>
              <w:color w:val="4F81BD" w:themeColor="accent1"/>
              <w:sz w:val="32"/>
              <w:szCs w:val="32"/>
            </w:rPr>
          </w:pPr>
          <w:r>
            <w:fldChar w:fldCharType="begin"/>
          </w:r>
          <w:r>
            <w:instrText xml:space="preserve"> PAGE   \* MERGEFORMAT </w:instrText>
          </w:r>
          <w:r>
            <w:fldChar w:fldCharType="separate"/>
          </w:r>
          <w:r w:rsidR="008375FD" w:rsidRPr="008375FD">
            <w:rPr>
              <w:b/>
              <w:noProof/>
              <w:color w:val="4F81BD" w:themeColor="accent1"/>
              <w:sz w:val="32"/>
              <w:szCs w:val="32"/>
            </w:rPr>
            <w:t>1</w:t>
          </w:r>
          <w:r>
            <w:rPr>
              <w:b/>
              <w:noProof/>
              <w:color w:val="4F81BD" w:themeColor="accent1"/>
              <w:sz w:val="32"/>
              <w:szCs w:val="32"/>
            </w:rPr>
            <w:fldChar w:fldCharType="end"/>
          </w:r>
        </w:p>
      </w:tc>
      <w:tc>
        <w:tcPr>
          <w:tcW w:w="7938" w:type="dxa"/>
        </w:tcPr>
        <w:p w:rsidR="008A7270" w:rsidRDefault="008A7270">
          <w:pPr>
            <w:pStyle w:val="Rodap"/>
          </w:pPr>
        </w:p>
      </w:tc>
    </w:tr>
  </w:tbl>
  <w:p w:rsidR="008A7270" w:rsidRPr="00A65587" w:rsidRDefault="008A7270">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70" w:rsidRDefault="008A72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70" w:rsidRDefault="008A72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8E" w:rsidRDefault="001E6F8E" w:rsidP="00761619">
      <w:pPr>
        <w:spacing w:after="0" w:line="240" w:lineRule="auto"/>
      </w:pPr>
      <w:r>
        <w:separator/>
      </w:r>
    </w:p>
  </w:footnote>
  <w:footnote w:type="continuationSeparator" w:id="0">
    <w:p w:rsidR="001E6F8E" w:rsidRDefault="001E6F8E" w:rsidP="00761619">
      <w:pPr>
        <w:spacing w:after="0" w:line="240" w:lineRule="auto"/>
      </w:pPr>
      <w:r>
        <w:continuationSeparator/>
      </w:r>
    </w:p>
  </w:footnote>
  <w:footnote w:id="1">
    <w:p w:rsidR="008A7270" w:rsidRPr="000D287C" w:rsidRDefault="008A7270" w:rsidP="000D287C">
      <w:pPr>
        <w:pStyle w:val="Textodenotaderodap"/>
        <w:rPr>
          <w:sz w:val="18"/>
          <w:szCs w:val="18"/>
          <w:lang w:val="pt-BR"/>
        </w:rPr>
      </w:pPr>
      <w:r w:rsidRPr="00E01A31">
        <w:rPr>
          <w:rStyle w:val="Refdenotaderodap"/>
          <w:sz w:val="18"/>
          <w:szCs w:val="18"/>
        </w:rPr>
        <w:footnoteRef/>
      </w:r>
      <w:r w:rsidRPr="000D287C">
        <w:rPr>
          <w:sz w:val="18"/>
          <w:szCs w:val="18"/>
          <w:lang w:val="pt-BR"/>
        </w:rPr>
        <w:t xml:space="preserve"> </w:t>
      </w:r>
      <w:r w:rsidRPr="000D287C">
        <w:rPr>
          <w:i/>
          <w:iCs/>
          <w:sz w:val="18"/>
          <w:szCs w:val="18"/>
          <w:lang w:val="pt-BR"/>
        </w:rPr>
        <w:t>Estratégia de Crescimento e de Redução da Pobreza III (2012 – 2016)</w:t>
      </w:r>
      <w:r w:rsidRPr="000D287C">
        <w:rPr>
          <w:sz w:val="18"/>
          <w:szCs w:val="18"/>
          <w:lang w:val="pt-BR"/>
        </w:rPr>
        <w:t>. República de Cabo Verde, p. 101</w:t>
      </w:r>
    </w:p>
  </w:footnote>
  <w:footnote w:id="2">
    <w:p w:rsidR="008A7270" w:rsidRPr="00C61AFB" w:rsidRDefault="008A7270" w:rsidP="000D287C">
      <w:pPr>
        <w:pStyle w:val="Textodenotaderodap"/>
        <w:rPr>
          <w:sz w:val="18"/>
          <w:szCs w:val="18"/>
          <w:lang w:val="pt-BR"/>
        </w:rPr>
      </w:pPr>
      <w:r w:rsidRPr="008A5969">
        <w:rPr>
          <w:rStyle w:val="Refdenotaderodap"/>
          <w:sz w:val="18"/>
          <w:szCs w:val="18"/>
        </w:rPr>
        <w:footnoteRef/>
      </w:r>
      <w:r w:rsidRPr="000D287C">
        <w:rPr>
          <w:sz w:val="18"/>
          <w:szCs w:val="18"/>
          <w:lang w:val="pt-BR"/>
        </w:rPr>
        <w:t xml:space="preserve"> </w:t>
      </w:r>
      <w:r w:rsidRPr="00C61AFB">
        <w:rPr>
          <w:sz w:val="18"/>
          <w:szCs w:val="18"/>
          <w:lang w:val="pt-BR"/>
        </w:rPr>
        <w:t>Ibid, p.21</w:t>
      </w:r>
    </w:p>
  </w:footnote>
  <w:footnote w:id="3">
    <w:p w:rsidR="008A7270" w:rsidRPr="00C61AFB" w:rsidRDefault="008A7270" w:rsidP="000D287C">
      <w:pPr>
        <w:pStyle w:val="Textodenotaderodap"/>
        <w:rPr>
          <w:sz w:val="18"/>
          <w:szCs w:val="18"/>
          <w:lang w:val="pt-BR"/>
        </w:rPr>
      </w:pPr>
      <w:r w:rsidRPr="008A5969">
        <w:rPr>
          <w:rStyle w:val="Refdenotaderodap"/>
          <w:sz w:val="18"/>
          <w:szCs w:val="18"/>
        </w:rPr>
        <w:footnoteRef/>
      </w:r>
      <w:r w:rsidRPr="000D287C">
        <w:rPr>
          <w:sz w:val="18"/>
          <w:szCs w:val="18"/>
          <w:lang w:val="pt-BR"/>
        </w:rPr>
        <w:t xml:space="preserve"> </w:t>
      </w:r>
      <w:r w:rsidRPr="00C61AFB">
        <w:rPr>
          <w:sz w:val="18"/>
          <w:szCs w:val="18"/>
          <w:lang w:val="pt-BR"/>
        </w:rPr>
        <w:t>Ibid, p.101</w:t>
      </w:r>
    </w:p>
  </w:footnote>
  <w:footnote w:id="4">
    <w:p w:rsidR="008A7270" w:rsidRPr="000D287C" w:rsidRDefault="008A7270" w:rsidP="000D287C">
      <w:pPr>
        <w:pStyle w:val="Textodenotaderodap"/>
        <w:jc w:val="both"/>
        <w:rPr>
          <w:sz w:val="18"/>
          <w:szCs w:val="18"/>
          <w:lang w:val="pt-BR"/>
        </w:rPr>
      </w:pPr>
      <w:r>
        <w:rPr>
          <w:rStyle w:val="Refdenotaderodap"/>
        </w:rPr>
        <w:footnoteRef/>
      </w:r>
      <w:r w:rsidRPr="000D287C">
        <w:rPr>
          <w:lang w:val="pt-BR"/>
        </w:rPr>
        <w:t xml:space="preserve"> </w:t>
      </w:r>
      <w:r w:rsidRPr="000D287C">
        <w:rPr>
          <w:sz w:val="18"/>
          <w:szCs w:val="18"/>
          <w:lang w:val="pt-BR"/>
        </w:rPr>
        <w:t>Programa do Governo 2011-2016 e Estratégia de Crescimento e de Redução da Pobreza (DECRP III, 2012–2016).</w:t>
      </w:r>
    </w:p>
  </w:footnote>
  <w:footnote w:id="5">
    <w:p w:rsidR="008A7270" w:rsidRPr="006F22AA" w:rsidRDefault="008A7270" w:rsidP="000D287C">
      <w:pPr>
        <w:pStyle w:val="Textodenotaderodap"/>
        <w:jc w:val="both"/>
        <w:rPr>
          <w:sz w:val="18"/>
          <w:szCs w:val="18"/>
          <w:lang w:val="pt-BR"/>
        </w:rPr>
      </w:pPr>
      <w:r>
        <w:rPr>
          <w:rStyle w:val="Refdenotaderodap"/>
        </w:rPr>
        <w:footnoteRef/>
      </w:r>
      <w:r w:rsidRPr="000D287C">
        <w:rPr>
          <w:lang w:val="pt-BR"/>
        </w:rPr>
        <w:t xml:space="preserve"> </w:t>
      </w:r>
      <w:r w:rsidRPr="000D287C">
        <w:rPr>
          <w:sz w:val="18"/>
          <w:szCs w:val="18"/>
          <w:lang w:val="pt-BR"/>
        </w:rPr>
        <w:t xml:space="preserve">Plano Nacional de Igualdade e Equidade de Género (PNIEG 2005-2011), Programa de Acção para a Promoção da Igualdade de Género 2011-2012 (PAPIG), Plano Nacional de Combate à Violência Baseada no Género (PNVBG 2008-2011), versão avançada do </w:t>
      </w:r>
      <w:r w:rsidRPr="006F22AA">
        <w:rPr>
          <w:sz w:val="18"/>
          <w:szCs w:val="18"/>
          <w:lang w:val="pt-BR"/>
        </w:rPr>
        <w:t>IIº PNVBG (2014-2016).</w:t>
      </w:r>
    </w:p>
  </w:footnote>
  <w:footnote w:id="6">
    <w:p w:rsidR="008A7270" w:rsidRPr="00AB1AD4" w:rsidRDefault="008A7270" w:rsidP="000D287C">
      <w:pPr>
        <w:pStyle w:val="Textodenotaderodap"/>
        <w:jc w:val="both"/>
        <w:rPr>
          <w:sz w:val="18"/>
          <w:szCs w:val="18"/>
          <w:lang w:val="pt-BR"/>
        </w:rPr>
      </w:pPr>
      <w:r w:rsidRPr="006F22AA">
        <w:rPr>
          <w:rStyle w:val="Refdenotaderodap"/>
          <w:lang w:val="pt-BR"/>
        </w:rPr>
        <w:footnoteRef/>
      </w:r>
      <w:r w:rsidRPr="006F22AA">
        <w:rPr>
          <w:lang w:val="pt-BR"/>
        </w:rPr>
        <w:t xml:space="preserve"> </w:t>
      </w:r>
      <w:r w:rsidRPr="006F22AA">
        <w:rPr>
          <w:sz w:val="18"/>
          <w:szCs w:val="18"/>
          <w:lang w:val="pt-BR"/>
        </w:rPr>
        <w:t>Direção Geral do Turismo/</w:t>
      </w:r>
      <w:r w:rsidRPr="006F22AA">
        <w:rPr>
          <w:rFonts w:ascii="Times New Roman" w:hAnsi="Times New Roman" w:cs="Times New Roman"/>
        </w:rPr>
        <w:t xml:space="preserve"> </w:t>
      </w:r>
      <w:r w:rsidRPr="006F22AA">
        <w:rPr>
          <w:rFonts w:cs="Times New Roman"/>
          <w:sz w:val="18"/>
          <w:szCs w:val="18"/>
        </w:rPr>
        <w:t>MTIDE</w:t>
      </w:r>
      <w:r w:rsidRPr="006F22AA">
        <w:rPr>
          <w:sz w:val="18"/>
          <w:szCs w:val="18"/>
          <w:lang w:val="pt-BR"/>
        </w:rPr>
        <w:t>, Direção Geral da Indústria e Comércio/</w:t>
      </w:r>
      <w:r w:rsidRPr="006F22AA">
        <w:rPr>
          <w:rFonts w:cs="Times New Roman"/>
          <w:sz w:val="18"/>
          <w:szCs w:val="18"/>
        </w:rPr>
        <w:t>MTIDE</w:t>
      </w:r>
      <w:r w:rsidRPr="006F22AA">
        <w:rPr>
          <w:sz w:val="18"/>
          <w:szCs w:val="18"/>
          <w:lang w:val="pt-BR"/>
        </w:rPr>
        <w:t>, Comunicação</w:t>
      </w:r>
      <w:r w:rsidRPr="00AB1AD4">
        <w:rPr>
          <w:sz w:val="18"/>
          <w:szCs w:val="18"/>
          <w:lang w:val="pt-BR"/>
        </w:rPr>
        <w:t xml:space="preserve"> Social, Direção Geral do Trabalho e Emprego/MJEDRH, Ministério da Educação, Rede de Mulheres Parlamentares, Comissão Nacional de Direitos Humanos e Cidadania, Direção Geral da Juventude/ MJEDRH, Instituto do Emprego e Formação Profissional, Ministério do Desenvolvimento Rural</w:t>
      </w:r>
    </w:p>
  </w:footnote>
  <w:footnote w:id="7">
    <w:p w:rsidR="008A7270" w:rsidRPr="00963E7C" w:rsidRDefault="008A7270" w:rsidP="000D287C">
      <w:pPr>
        <w:pStyle w:val="Textodenotaderodap"/>
        <w:jc w:val="both"/>
        <w:rPr>
          <w:i/>
          <w:lang w:val="pt-BR"/>
        </w:rPr>
      </w:pPr>
      <w:r w:rsidRPr="008E53B1">
        <w:rPr>
          <w:rStyle w:val="Refdenotaderodap"/>
          <w:lang w:val="pt-BR"/>
        </w:rPr>
        <w:footnoteRef/>
      </w:r>
      <w:r w:rsidRPr="008E53B1">
        <w:rPr>
          <w:lang w:val="pt-BR"/>
        </w:rPr>
        <w:t xml:space="preserve"> </w:t>
      </w:r>
      <w:r w:rsidRPr="008E53B1">
        <w:rPr>
          <w:sz w:val="18"/>
          <w:szCs w:val="18"/>
          <w:lang w:val="pt-BR"/>
        </w:rPr>
        <w:t xml:space="preserve">A implementação deste eixo e realizada com base no </w:t>
      </w:r>
      <w:r w:rsidRPr="008E53B1">
        <w:rPr>
          <w:i/>
          <w:sz w:val="18"/>
          <w:szCs w:val="18"/>
          <w:lang w:val="pt-BR"/>
        </w:rPr>
        <w:t>IIº Plano Nacional de Combate à Violência Baseada no Género aprovado para o período 2014- 2016</w:t>
      </w:r>
    </w:p>
  </w:footnote>
  <w:footnote w:id="8">
    <w:p w:rsidR="008A7270" w:rsidRPr="005B1334" w:rsidRDefault="008A7270" w:rsidP="00CA7D45">
      <w:pPr>
        <w:pStyle w:val="Textodenotaderodap"/>
        <w:rPr>
          <w:lang w:val="pt-BR"/>
        </w:rPr>
      </w:pPr>
      <w:r>
        <w:rPr>
          <w:rStyle w:val="Refdenotaderodap"/>
        </w:rPr>
        <w:footnoteRef/>
      </w:r>
      <w:r>
        <w:t xml:space="preserve"> Estes</w:t>
      </w:r>
      <w:r w:rsidRPr="005B1334">
        <w:rPr>
          <w:lang w:val="pt-BR"/>
        </w:rPr>
        <w:t xml:space="preserve"> documentos </w:t>
      </w:r>
      <w:r>
        <w:rPr>
          <w:lang w:val="pt-BR"/>
        </w:rPr>
        <w:t xml:space="preserve">estão à </w:t>
      </w:r>
      <w:r w:rsidRPr="005B1334">
        <w:rPr>
          <w:lang w:val="pt-BR"/>
        </w:rPr>
        <w:t>disposição no ICIEG</w:t>
      </w:r>
    </w:p>
  </w:footnote>
  <w:footnote w:id="9">
    <w:p w:rsidR="008A7270" w:rsidRPr="002D786A" w:rsidRDefault="008A7270" w:rsidP="002D786A">
      <w:pPr>
        <w:autoSpaceDE w:val="0"/>
        <w:autoSpaceDN w:val="0"/>
        <w:adjustRightInd w:val="0"/>
        <w:spacing w:after="0" w:line="240" w:lineRule="auto"/>
        <w:rPr>
          <w:rFonts w:cs="TimesNewRomanPSMT"/>
          <w:sz w:val="18"/>
          <w:szCs w:val="18"/>
          <w:lang w:val="pt-BR"/>
        </w:rPr>
      </w:pPr>
      <w:r w:rsidRPr="00C95C3F">
        <w:rPr>
          <w:rStyle w:val="Refdenotaderodap"/>
          <w:sz w:val="18"/>
          <w:szCs w:val="18"/>
        </w:rPr>
        <w:footnoteRef/>
      </w:r>
      <w:r w:rsidRPr="00B84F9A">
        <w:rPr>
          <w:sz w:val="18"/>
          <w:szCs w:val="18"/>
          <w:lang w:val="es-ES"/>
        </w:rPr>
        <w:t xml:space="preserve"> </w:t>
      </w:r>
      <w:r w:rsidRPr="00B84F9A">
        <w:rPr>
          <w:rFonts w:cs="TimesNewRomanPSMT"/>
          <w:sz w:val="18"/>
          <w:szCs w:val="18"/>
          <w:lang w:val="es-ES"/>
        </w:rPr>
        <w:t xml:space="preserve">Ferrajoli, Luis. </w:t>
      </w:r>
      <w:r w:rsidRPr="00B84F9A">
        <w:rPr>
          <w:rFonts w:cs="TimesNewRomanPSMT"/>
          <w:i/>
          <w:sz w:val="18"/>
          <w:szCs w:val="18"/>
          <w:lang w:val="es-ES"/>
        </w:rPr>
        <w:t>Derechos y Garantías. La ley del más débil</w:t>
      </w:r>
      <w:r w:rsidRPr="00B84F9A">
        <w:rPr>
          <w:rFonts w:cs="TimesNewRomanPSMT"/>
          <w:sz w:val="18"/>
          <w:szCs w:val="18"/>
          <w:lang w:val="es-ES"/>
        </w:rPr>
        <w:t xml:space="preserve">. </w:t>
      </w:r>
      <w:r w:rsidRPr="002D786A">
        <w:rPr>
          <w:rFonts w:cs="TimesNewRomanPSMT"/>
          <w:sz w:val="18"/>
          <w:szCs w:val="18"/>
          <w:lang w:val="pt-BR"/>
        </w:rPr>
        <w:t xml:space="preserve">Editorial Trotta. Madrid, 1999. </w:t>
      </w:r>
    </w:p>
  </w:footnote>
  <w:footnote w:id="10">
    <w:p w:rsidR="008A7270" w:rsidRPr="002D786A" w:rsidRDefault="008A7270" w:rsidP="002D786A">
      <w:pPr>
        <w:autoSpaceDE w:val="0"/>
        <w:autoSpaceDN w:val="0"/>
        <w:adjustRightInd w:val="0"/>
        <w:spacing w:after="0" w:line="240" w:lineRule="auto"/>
        <w:jc w:val="both"/>
        <w:rPr>
          <w:rFonts w:ascii="TimesNewRomanPSMT" w:hAnsi="TimesNewRomanPSMT" w:cs="TimesNewRomanPSMT"/>
          <w:color w:val="808080" w:themeColor="background1" w:themeShade="80"/>
          <w:lang w:val="pt-BR"/>
        </w:rPr>
      </w:pPr>
      <w:r w:rsidRPr="00AC4AA3">
        <w:rPr>
          <w:rStyle w:val="Refdenotaderodap"/>
          <w:sz w:val="18"/>
          <w:szCs w:val="18"/>
        </w:rPr>
        <w:footnoteRef/>
      </w:r>
      <w:r w:rsidRPr="002D786A">
        <w:rPr>
          <w:sz w:val="18"/>
          <w:szCs w:val="18"/>
          <w:lang w:val="pt-BR"/>
        </w:rPr>
        <w:t xml:space="preserve"> </w:t>
      </w:r>
      <w:r w:rsidRPr="002D786A">
        <w:rPr>
          <w:rFonts w:cs="TimesNewRomanPSMT"/>
          <w:sz w:val="18"/>
          <w:szCs w:val="18"/>
          <w:lang w:val="pt-BR"/>
        </w:rPr>
        <w:t>Essa definição leva em conta, entre outras referências, o artigo 1 da Convenção Internacional sobre a Eliminação de Todas as Formas de Discriminação Racial que define a discriminação racial como "qualquer distinção, exclusão, restrição ou preferência baseada em raça, cor, descendência ou origem nacional ou étnica que tenha por objeto ou resultado anular ou restringir o reconhecimento, gozo ou exercício, em condições de igualdade de direitos humanos e liberdades fundamentais nos campos político, económico, social, cultural ou em qualquer outro campo da vida pública."</w:t>
      </w:r>
    </w:p>
  </w:footnote>
  <w:footnote w:id="11">
    <w:p w:rsidR="008A7270" w:rsidRPr="002D786A" w:rsidRDefault="008A7270" w:rsidP="002D786A">
      <w:pPr>
        <w:pStyle w:val="Textodenotaderodap"/>
        <w:jc w:val="both"/>
        <w:rPr>
          <w:sz w:val="18"/>
          <w:szCs w:val="18"/>
          <w:lang w:val="pt-BR"/>
        </w:rPr>
      </w:pPr>
      <w:r w:rsidRPr="00C51408">
        <w:rPr>
          <w:rStyle w:val="Refdenotaderodap"/>
          <w:sz w:val="18"/>
          <w:szCs w:val="18"/>
        </w:rPr>
        <w:footnoteRef/>
      </w:r>
      <w:r w:rsidRPr="002D786A">
        <w:rPr>
          <w:sz w:val="18"/>
          <w:szCs w:val="18"/>
          <w:lang w:val="pt-BR"/>
        </w:rPr>
        <w:t xml:space="preserve"> Artigo 3 CEDAW</w:t>
      </w:r>
      <w:r>
        <w:rPr>
          <w:sz w:val="18"/>
          <w:szCs w:val="18"/>
          <w:lang w:val="pt-BR"/>
        </w:rPr>
        <w:t>.</w:t>
      </w:r>
    </w:p>
  </w:footnote>
  <w:footnote w:id="12">
    <w:p w:rsidR="008A7270" w:rsidRPr="002D786A" w:rsidRDefault="008A7270" w:rsidP="002D786A">
      <w:pPr>
        <w:autoSpaceDE w:val="0"/>
        <w:autoSpaceDN w:val="0"/>
        <w:adjustRightInd w:val="0"/>
        <w:spacing w:after="0" w:line="240" w:lineRule="auto"/>
        <w:jc w:val="both"/>
        <w:rPr>
          <w:rFonts w:cs="TimesNewRomanPSMT"/>
          <w:sz w:val="18"/>
          <w:szCs w:val="18"/>
          <w:lang w:val="pt-BR"/>
        </w:rPr>
      </w:pPr>
      <w:r w:rsidRPr="00C51408">
        <w:rPr>
          <w:rStyle w:val="Refdenotaderodap"/>
          <w:sz w:val="18"/>
          <w:szCs w:val="18"/>
        </w:rPr>
        <w:footnoteRef/>
      </w:r>
      <w:r w:rsidRPr="002D786A">
        <w:rPr>
          <w:sz w:val="18"/>
          <w:szCs w:val="18"/>
          <w:lang w:val="pt-BR"/>
        </w:rPr>
        <w:t xml:space="preserve"> </w:t>
      </w:r>
      <w:r w:rsidRPr="002D786A">
        <w:rPr>
          <w:rFonts w:cs="TimesNewRomanPSMT"/>
          <w:sz w:val="18"/>
          <w:szCs w:val="18"/>
          <w:lang w:val="pt-BR"/>
        </w:rPr>
        <w:t xml:space="preserve">Definição de Yolanda D'Elia e Thais Maingon citado em Evangelina </w:t>
      </w:r>
      <w:r>
        <w:rPr>
          <w:rFonts w:cs="TimesNewRomanPSMT"/>
          <w:sz w:val="18"/>
          <w:szCs w:val="18"/>
          <w:lang w:val="pt-BR"/>
        </w:rPr>
        <w:t>GARCÍA-</w:t>
      </w:r>
      <w:r w:rsidRPr="002D786A">
        <w:rPr>
          <w:rFonts w:cs="TimesNewRomanPSMT"/>
          <w:sz w:val="18"/>
          <w:szCs w:val="18"/>
          <w:lang w:val="pt-BR"/>
        </w:rPr>
        <w:t xml:space="preserve">PRINCE, Políticas de Igualdade, Equidade e </w:t>
      </w:r>
      <w:r w:rsidRPr="002D786A">
        <w:rPr>
          <w:rFonts w:cs="TimesNewRomanPSMT"/>
          <w:i/>
          <w:sz w:val="18"/>
          <w:szCs w:val="18"/>
          <w:lang w:val="pt-BR"/>
        </w:rPr>
        <w:t>mainstreaming</w:t>
      </w:r>
      <w:r w:rsidRPr="002D786A">
        <w:rPr>
          <w:rFonts w:cs="TimesNewRomanPSMT"/>
          <w:sz w:val="18"/>
          <w:szCs w:val="18"/>
          <w:lang w:val="pt-BR"/>
        </w:rPr>
        <w:t xml:space="preserve"> de g</w:t>
      </w:r>
      <w:r w:rsidRPr="002D786A">
        <w:rPr>
          <w:rFonts w:cs="TrebuchetMS"/>
          <w:sz w:val="18"/>
          <w:szCs w:val="18"/>
          <w:lang w:val="pt-BR"/>
        </w:rPr>
        <w:t>ê</w:t>
      </w:r>
      <w:r w:rsidRPr="002D786A">
        <w:rPr>
          <w:rFonts w:cs="TimesNewRomanPSMT"/>
          <w:sz w:val="18"/>
          <w:szCs w:val="18"/>
          <w:lang w:val="pt-BR"/>
        </w:rPr>
        <w:t>nero. Edição revista e atualizada. Área de Gênero do Centro Regional do PNUD para a América Latina e Caribe. Panamá. 2011 p.49.</w:t>
      </w:r>
    </w:p>
  </w:footnote>
  <w:footnote w:id="13">
    <w:p w:rsidR="008A7270" w:rsidRPr="002D786A" w:rsidRDefault="008A7270" w:rsidP="002D786A">
      <w:pPr>
        <w:pStyle w:val="Textodenotaderodap"/>
        <w:jc w:val="both"/>
        <w:rPr>
          <w:sz w:val="18"/>
          <w:szCs w:val="18"/>
          <w:lang w:val="pt-BR"/>
        </w:rPr>
      </w:pPr>
      <w:r w:rsidRPr="00C51408">
        <w:rPr>
          <w:rStyle w:val="Refdenotaderodap"/>
          <w:sz w:val="18"/>
          <w:szCs w:val="18"/>
        </w:rPr>
        <w:footnoteRef/>
      </w:r>
      <w:r w:rsidRPr="002D786A">
        <w:rPr>
          <w:sz w:val="18"/>
          <w:szCs w:val="18"/>
          <w:lang w:val="pt-BR"/>
        </w:rPr>
        <w:t xml:space="preserve"> Ibid, p.49.</w:t>
      </w:r>
    </w:p>
  </w:footnote>
  <w:footnote w:id="14">
    <w:p w:rsidR="008A7270" w:rsidRPr="006F22AA" w:rsidRDefault="008A7270" w:rsidP="002D786A">
      <w:pPr>
        <w:pStyle w:val="Textodenotaderodap"/>
        <w:jc w:val="both"/>
        <w:rPr>
          <w:sz w:val="18"/>
          <w:szCs w:val="18"/>
          <w:lang w:val="pt-BR"/>
        </w:rPr>
      </w:pPr>
      <w:r w:rsidRPr="006F22AA">
        <w:rPr>
          <w:rStyle w:val="Refdenotaderodap"/>
          <w:sz w:val="18"/>
          <w:szCs w:val="18"/>
        </w:rPr>
        <w:footnoteRef/>
      </w:r>
      <w:r w:rsidRPr="006F22AA">
        <w:rPr>
          <w:sz w:val="18"/>
          <w:szCs w:val="18"/>
          <w:lang w:val="pt-BR"/>
        </w:rPr>
        <w:t xml:space="preserve"> Contudo, o trabalho para o mercado pode ser não remunerado, como por exemplo no caso dos trabalhadores familiares sem remuneração.</w:t>
      </w:r>
    </w:p>
  </w:footnote>
  <w:footnote w:id="15">
    <w:p w:rsidR="008A7270" w:rsidRPr="006F22AA" w:rsidRDefault="008A7270" w:rsidP="006F22AA">
      <w:pPr>
        <w:spacing w:after="0" w:line="240" w:lineRule="auto"/>
        <w:rPr>
          <w:rFonts w:cs="Arial"/>
          <w:bCs/>
          <w:sz w:val="18"/>
          <w:szCs w:val="18"/>
          <w:lang w:val="es-ES"/>
        </w:rPr>
      </w:pPr>
      <w:r w:rsidRPr="006F22AA">
        <w:rPr>
          <w:rStyle w:val="Refdenotaderodap"/>
          <w:sz w:val="18"/>
          <w:szCs w:val="18"/>
        </w:rPr>
        <w:footnoteRef/>
      </w:r>
      <w:r w:rsidRPr="006F22AA">
        <w:rPr>
          <w:sz w:val="18"/>
          <w:szCs w:val="18"/>
          <w:lang w:val="es-ES"/>
        </w:rPr>
        <w:t xml:space="preserve"> </w:t>
      </w:r>
      <w:r w:rsidRPr="006F22AA">
        <w:rPr>
          <w:rFonts w:cs="Arial"/>
          <w:bCs/>
          <w:sz w:val="18"/>
          <w:szCs w:val="18"/>
          <w:lang w:val="es-ES"/>
        </w:rPr>
        <w:t xml:space="preserve">Representação elaborada com base nas definições de  Esquivel (2009): </w:t>
      </w:r>
      <w:r w:rsidRPr="006F22AA">
        <w:rPr>
          <w:rFonts w:cs="Arial"/>
          <w:bCs/>
          <w:i/>
          <w:sz w:val="18"/>
          <w:szCs w:val="18"/>
          <w:lang w:val="es-ES"/>
        </w:rPr>
        <w:t>Uso del Tiempo en la ciudad de Buenos Aires</w:t>
      </w:r>
      <w:r w:rsidRPr="006F22AA">
        <w:rPr>
          <w:rFonts w:cs="Arial"/>
          <w:bCs/>
          <w:sz w:val="18"/>
          <w:szCs w:val="18"/>
          <w:lang w:val="es-ES"/>
        </w:rPr>
        <w:t xml:space="preserve"> e Coello &amp; Pérez (2013) </w:t>
      </w:r>
      <w:r w:rsidRPr="006F22AA">
        <w:rPr>
          <w:rFonts w:cs="Arial"/>
          <w:sz w:val="18"/>
          <w:szCs w:val="18"/>
          <w:lang w:val="es-ES"/>
        </w:rPr>
        <w:t>C</w:t>
      </w:r>
      <w:r w:rsidRPr="006F22AA">
        <w:rPr>
          <w:rFonts w:cs="Arial"/>
          <w:i/>
          <w:iCs/>
          <w:sz w:val="18"/>
          <w:szCs w:val="18"/>
          <w:lang w:val="es-ES"/>
        </w:rPr>
        <w:t>ómo trabajar la economía de los cuidados desde la cooperación internacional para el desarrollo.</w:t>
      </w:r>
    </w:p>
  </w:footnote>
  <w:footnote w:id="16">
    <w:p w:rsidR="008A7270" w:rsidRPr="00614872" w:rsidRDefault="008A7270" w:rsidP="004F127D">
      <w:pPr>
        <w:pStyle w:val="Textodenotaderodap"/>
        <w:rPr>
          <w:sz w:val="18"/>
          <w:szCs w:val="18"/>
        </w:rPr>
      </w:pPr>
      <w:r w:rsidRPr="00614872">
        <w:rPr>
          <w:rStyle w:val="Refdenotaderodap"/>
          <w:sz w:val="18"/>
          <w:szCs w:val="18"/>
        </w:rPr>
        <w:footnoteRef/>
      </w:r>
      <w:r w:rsidRPr="00922FF3">
        <w:rPr>
          <w:sz w:val="18"/>
          <w:szCs w:val="18"/>
          <w:lang w:val="pt-BR"/>
        </w:rPr>
        <w:t xml:space="preserve"> INE (2010) </w:t>
      </w:r>
      <w:r w:rsidRPr="00614872">
        <w:rPr>
          <w:sz w:val="18"/>
          <w:szCs w:val="18"/>
        </w:rPr>
        <w:t>Recenseamento Geral da População e Habitação (RGPH)</w:t>
      </w:r>
      <w:r>
        <w:rPr>
          <w:sz w:val="18"/>
          <w:szCs w:val="18"/>
        </w:rPr>
        <w:t>.</w:t>
      </w:r>
    </w:p>
  </w:footnote>
  <w:footnote w:id="17">
    <w:p w:rsidR="008A7270" w:rsidRPr="00614872" w:rsidRDefault="008A7270" w:rsidP="004F127D">
      <w:pPr>
        <w:pStyle w:val="Textodenotaderodap"/>
        <w:rPr>
          <w:sz w:val="18"/>
          <w:szCs w:val="18"/>
        </w:rPr>
      </w:pPr>
      <w:r w:rsidRPr="00614872">
        <w:rPr>
          <w:rStyle w:val="Refdenotaderodap"/>
          <w:sz w:val="18"/>
          <w:szCs w:val="18"/>
        </w:rPr>
        <w:footnoteRef/>
      </w:r>
      <w:r w:rsidRPr="00614872">
        <w:rPr>
          <w:sz w:val="18"/>
          <w:szCs w:val="18"/>
        </w:rPr>
        <w:t xml:space="preserve"> Especificamente as mulheres constituem 48% da faixa dos 20-24 anos; 47% dos 25-34 anos; e 48% dos 35-39 anos</w:t>
      </w:r>
      <w:r>
        <w:rPr>
          <w:sz w:val="18"/>
          <w:szCs w:val="18"/>
        </w:rPr>
        <w:t>.</w:t>
      </w:r>
    </w:p>
  </w:footnote>
  <w:footnote w:id="18">
    <w:p w:rsidR="008A7270" w:rsidRPr="0092416B" w:rsidRDefault="008A7270" w:rsidP="004F127D">
      <w:pPr>
        <w:pStyle w:val="Textodenotaderodap"/>
        <w:rPr>
          <w:lang w:val="pt-BR"/>
        </w:rPr>
      </w:pPr>
      <w:r>
        <w:rPr>
          <w:rStyle w:val="Refdenotaderodap"/>
        </w:rPr>
        <w:footnoteRef/>
      </w:r>
      <w:r w:rsidRPr="0092416B">
        <w:rPr>
          <w:lang w:val="pt-BR"/>
        </w:rPr>
        <w:t xml:space="preserve"> </w:t>
      </w:r>
      <w:r>
        <w:rPr>
          <w:sz w:val="18"/>
          <w:szCs w:val="18"/>
        </w:rPr>
        <w:t>Apresentação dos principais resultados das Estatísticas das Migrações, INE, IMC 2013</w:t>
      </w:r>
    </w:p>
  </w:footnote>
  <w:footnote w:id="19">
    <w:p w:rsidR="008A7270" w:rsidRPr="009528EF" w:rsidRDefault="008A7270" w:rsidP="004F127D">
      <w:pPr>
        <w:rPr>
          <w:sz w:val="18"/>
          <w:szCs w:val="18"/>
        </w:rPr>
      </w:pPr>
      <w:r>
        <w:rPr>
          <w:rStyle w:val="Refdenotaderodap"/>
        </w:rPr>
        <w:footnoteRef/>
      </w:r>
      <w:r w:rsidRPr="0092416B">
        <w:rPr>
          <w:lang w:val="pt-BR"/>
        </w:rPr>
        <w:t xml:space="preserve"> </w:t>
      </w:r>
      <w:r w:rsidRPr="009528EF">
        <w:rPr>
          <w:sz w:val="18"/>
          <w:szCs w:val="18"/>
        </w:rPr>
        <w:t>Lisboa (2006)</w:t>
      </w:r>
      <w:r>
        <w:rPr>
          <w:sz w:val="18"/>
          <w:szCs w:val="18"/>
        </w:rPr>
        <w:t xml:space="preserve">, cit in </w:t>
      </w:r>
      <w:r w:rsidRPr="009528EF">
        <w:rPr>
          <w:i/>
          <w:sz w:val="18"/>
          <w:szCs w:val="18"/>
        </w:rPr>
        <w:t>F</w:t>
      </w:r>
      <w:r>
        <w:rPr>
          <w:i/>
          <w:sz w:val="18"/>
          <w:szCs w:val="18"/>
        </w:rPr>
        <w:t>eminino</w:t>
      </w:r>
      <w:r w:rsidRPr="009528EF">
        <w:rPr>
          <w:i/>
          <w:sz w:val="18"/>
          <w:szCs w:val="18"/>
        </w:rPr>
        <w:t>, M</w:t>
      </w:r>
      <w:r>
        <w:rPr>
          <w:i/>
          <w:sz w:val="18"/>
          <w:szCs w:val="18"/>
        </w:rPr>
        <w:t>asculino e</w:t>
      </w:r>
      <w:r w:rsidRPr="009528EF">
        <w:rPr>
          <w:i/>
          <w:sz w:val="18"/>
          <w:szCs w:val="18"/>
        </w:rPr>
        <w:t xml:space="preserve"> </w:t>
      </w:r>
      <w:r>
        <w:rPr>
          <w:i/>
          <w:sz w:val="18"/>
          <w:szCs w:val="18"/>
        </w:rPr>
        <w:t>questões de género</w:t>
      </w:r>
      <w:r w:rsidRPr="009528EF">
        <w:rPr>
          <w:i/>
          <w:sz w:val="18"/>
          <w:szCs w:val="18"/>
        </w:rPr>
        <w:t xml:space="preserve">: </w:t>
      </w:r>
      <w:r>
        <w:rPr>
          <w:i/>
          <w:sz w:val="18"/>
          <w:szCs w:val="18"/>
        </w:rPr>
        <w:t>u</w:t>
      </w:r>
      <w:r w:rsidRPr="009528EF">
        <w:rPr>
          <w:i/>
          <w:sz w:val="18"/>
          <w:szCs w:val="18"/>
        </w:rPr>
        <w:t>ma leitura com base no Recenseamento Geral da População e da Habitação 2010</w:t>
      </w:r>
      <w:r w:rsidRPr="009528EF">
        <w:rPr>
          <w:sz w:val="18"/>
          <w:szCs w:val="18"/>
        </w:rPr>
        <w:t>, p.</w:t>
      </w:r>
      <w:r>
        <w:rPr>
          <w:sz w:val="18"/>
          <w:szCs w:val="18"/>
        </w:rPr>
        <w:t>42 (documento draft)</w:t>
      </w:r>
    </w:p>
  </w:footnote>
  <w:footnote w:id="20">
    <w:p w:rsidR="008A7270" w:rsidRPr="00614872" w:rsidRDefault="008A7270" w:rsidP="004F127D">
      <w:pPr>
        <w:pStyle w:val="Textodenotaderodap"/>
        <w:rPr>
          <w:sz w:val="18"/>
          <w:szCs w:val="18"/>
        </w:rPr>
      </w:pPr>
      <w:r w:rsidRPr="00614872">
        <w:rPr>
          <w:rStyle w:val="Refdenotaderodap"/>
          <w:sz w:val="18"/>
          <w:szCs w:val="18"/>
        </w:rPr>
        <w:footnoteRef/>
      </w:r>
      <w:r w:rsidRPr="00614872">
        <w:rPr>
          <w:sz w:val="18"/>
          <w:szCs w:val="18"/>
        </w:rPr>
        <w:t xml:space="preserve"> INE e Ministério da Saúde (2005) 2º Inquérito Demográfico e de Saúde Reprodutiva (IDSR II).</w:t>
      </w:r>
    </w:p>
  </w:footnote>
  <w:footnote w:id="21">
    <w:p w:rsidR="008A7270" w:rsidRPr="00614872" w:rsidRDefault="008A7270" w:rsidP="004F127D">
      <w:pPr>
        <w:pStyle w:val="Textodenotaderodap"/>
        <w:jc w:val="both"/>
        <w:rPr>
          <w:sz w:val="18"/>
          <w:szCs w:val="18"/>
        </w:rPr>
      </w:pPr>
      <w:r w:rsidRPr="00614872">
        <w:rPr>
          <w:rStyle w:val="Refdenotaderodap"/>
          <w:sz w:val="18"/>
          <w:szCs w:val="18"/>
        </w:rPr>
        <w:footnoteRef/>
      </w:r>
      <w:r w:rsidRPr="00614872">
        <w:rPr>
          <w:sz w:val="18"/>
          <w:szCs w:val="18"/>
        </w:rPr>
        <w:t xml:space="preserve"> ICIEG (2008) Relatório de Avaliação e Actualização do PNIEG (2005-2009), pp 20-21</w:t>
      </w:r>
      <w:r>
        <w:rPr>
          <w:sz w:val="18"/>
          <w:szCs w:val="18"/>
        </w:rPr>
        <w:t>.</w:t>
      </w:r>
    </w:p>
  </w:footnote>
  <w:footnote w:id="22">
    <w:p w:rsidR="008A7270" w:rsidRPr="00614872" w:rsidRDefault="008A7270" w:rsidP="004F127D">
      <w:pPr>
        <w:pStyle w:val="Textodenotaderodap"/>
        <w:jc w:val="both"/>
        <w:rPr>
          <w:sz w:val="18"/>
          <w:szCs w:val="18"/>
        </w:rPr>
      </w:pPr>
      <w:r w:rsidRPr="00614872">
        <w:rPr>
          <w:rStyle w:val="Refdenotaderodap"/>
          <w:sz w:val="18"/>
          <w:szCs w:val="18"/>
        </w:rPr>
        <w:footnoteRef/>
      </w:r>
      <w:r w:rsidRPr="00614872">
        <w:rPr>
          <w:sz w:val="18"/>
          <w:szCs w:val="18"/>
        </w:rPr>
        <w:t xml:space="preserve"> </w:t>
      </w:r>
      <w:r w:rsidRPr="00614872">
        <w:rPr>
          <w:bCs/>
          <w:sz w:val="18"/>
          <w:szCs w:val="18"/>
        </w:rPr>
        <w:t>INE (2013) Inquérito Multiobjectivo Contínuo (IM</w:t>
      </w:r>
      <w:r>
        <w:rPr>
          <w:bCs/>
          <w:sz w:val="18"/>
          <w:szCs w:val="18"/>
        </w:rPr>
        <w:t>C</w:t>
      </w:r>
      <w:r w:rsidRPr="00614872">
        <w:rPr>
          <w:bCs/>
          <w:sz w:val="18"/>
          <w:szCs w:val="18"/>
        </w:rPr>
        <w:t>) – Estatísticas das famílias e condições de vida</w:t>
      </w:r>
      <w:r>
        <w:rPr>
          <w:bCs/>
          <w:sz w:val="18"/>
          <w:szCs w:val="18"/>
        </w:rPr>
        <w:t>.</w:t>
      </w:r>
    </w:p>
  </w:footnote>
  <w:footnote w:id="23">
    <w:p w:rsidR="008A7270" w:rsidRPr="00D45CB4" w:rsidRDefault="008A7270" w:rsidP="004F127D">
      <w:pPr>
        <w:pStyle w:val="Textodenotaderodap"/>
        <w:rPr>
          <w:sz w:val="18"/>
          <w:szCs w:val="18"/>
          <w:lang w:val="pt-BR"/>
        </w:rPr>
      </w:pPr>
      <w:r w:rsidRPr="00DF3337">
        <w:rPr>
          <w:rStyle w:val="Refdenotaderodap"/>
          <w:sz w:val="18"/>
          <w:szCs w:val="18"/>
        </w:rPr>
        <w:footnoteRef/>
      </w:r>
      <w:r w:rsidRPr="00922FF3">
        <w:rPr>
          <w:sz w:val="18"/>
          <w:szCs w:val="18"/>
          <w:lang w:val="pt-BR"/>
        </w:rPr>
        <w:t xml:space="preserve"> </w:t>
      </w:r>
      <w:r w:rsidRPr="00D45CB4">
        <w:rPr>
          <w:sz w:val="18"/>
          <w:szCs w:val="18"/>
          <w:lang w:val="pt-BR"/>
        </w:rPr>
        <w:t xml:space="preserve">Ministério da Saúde (2012). </w:t>
      </w:r>
      <w:r w:rsidRPr="00D45CB4">
        <w:rPr>
          <w:i/>
          <w:iCs/>
          <w:sz w:val="18"/>
          <w:szCs w:val="18"/>
          <w:lang w:val="pt-BR"/>
        </w:rPr>
        <w:t xml:space="preserve">Plano Nacional de Desenvolvimento Sanitário </w:t>
      </w:r>
      <w:r w:rsidRPr="0002162C">
        <w:rPr>
          <w:i/>
          <w:iCs/>
          <w:sz w:val="18"/>
          <w:szCs w:val="18"/>
          <w:lang w:val="pt-BR"/>
        </w:rPr>
        <w:t>2012-2016</w:t>
      </w:r>
      <w:r w:rsidRPr="0002162C">
        <w:rPr>
          <w:sz w:val="18"/>
          <w:szCs w:val="18"/>
          <w:lang w:val="pt-BR"/>
        </w:rPr>
        <w:t>. Volume I, p. 20.</w:t>
      </w:r>
    </w:p>
  </w:footnote>
  <w:footnote w:id="24">
    <w:p w:rsidR="008A7270" w:rsidRPr="00512E4A" w:rsidRDefault="008A7270" w:rsidP="004F127D">
      <w:pPr>
        <w:pStyle w:val="Textodenotaderodap"/>
        <w:jc w:val="both"/>
        <w:rPr>
          <w:sz w:val="18"/>
          <w:szCs w:val="18"/>
        </w:rPr>
      </w:pPr>
      <w:r w:rsidRPr="00512E4A">
        <w:rPr>
          <w:rStyle w:val="Refdenotaderodap"/>
          <w:sz w:val="18"/>
          <w:szCs w:val="18"/>
        </w:rPr>
        <w:footnoteRef/>
      </w:r>
      <w:r w:rsidRPr="00922FF3">
        <w:rPr>
          <w:sz w:val="18"/>
          <w:szCs w:val="18"/>
          <w:lang w:val="pt-BR"/>
        </w:rPr>
        <w:t xml:space="preserve"> </w:t>
      </w:r>
      <w:r w:rsidRPr="00512E4A">
        <w:rPr>
          <w:sz w:val="18"/>
          <w:szCs w:val="18"/>
        </w:rPr>
        <w:t xml:space="preserve">Ministério da Saúde </w:t>
      </w:r>
      <w:r w:rsidRPr="004511C0">
        <w:rPr>
          <w:i/>
          <w:sz w:val="18"/>
          <w:szCs w:val="18"/>
        </w:rPr>
        <w:t>Notas para uma efectiva transversalização do género no PNDS (2012-2016),</w:t>
      </w:r>
      <w:r w:rsidRPr="00512E4A">
        <w:rPr>
          <w:sz w:val="18"/>
          <w:szCs w:val="18"/>
        </w:rPr>
        <w:t xml:space="preserve"> elaboradas p</w:t>
      </w:r>
      <w:r>
        <w:rPr>
          <w:sz w:val="18"/>
          <w:szCs w:val="18"/>
        </w:rPr>
        <w:t xml:space="preserve">or </w:t>
      </w:r>
      <w:r w:rsidRPr="005378AF">
        <w:rPr>
          <w:sz w:val="18"/>
          <w:szCs w:val="18"/>
        </w:rPr>
        <w:t>Elaine B</w:t>
      </w:r>
      <w:r>
        <w:rPr>
          <w:sz w:val="18"/>
          <w:szCs w:val="18"/>
        </w:rPr>
        <w:t>ortolanza</w:t>
      </w:r>
      <w:r w:rsidRPr="00512E4A">
        <w:rPr>
          <w:sz w:val="18"/>
          <w:szCs w:val="18"/>
        </w:rPr>
        <w:t xml:space="preserve"> </w:t>
      </w:r>
    </w:p>
  </w:footnote>
  <w:footnote w:id="25">
    <w:p w:rsidR="008A7270" w:rsidRPr="00922FF3" w:rsidRDefault="008A7270" w:rsidP="004F127D">
      <w:pPr>
        <w:pStyle w:val="Textodenotaderodap"/>
        <w:jc w:val="both"/>
        <w:rPr>
          <w:sz w:val="18"/>
          <w:szCs w:val="18"/>
          <w:lang w:val="pt-BR"/>
        </w:rPr>
      </w:pPr>
      <w:r w:rsidRPr="00512E4A">
        <w:rPr>
          <w:rStyle w:val="Refdenotaderodap"/>
          <w:sz w:val="18"/>
          <w:szCs w:val="18"/>
        </w:rPr>
        <w:footnoteRef/>
      </w:r>
      <w:r w:rsidRPr="00922FF3">
        <w:rPr>
          <w:sz w:val="18"/>
          <w:szCs w:val="18"/>
          <w:lang w:val="pt-BR"/>
        </w:rPr>
        <w:t xml:space="preserve"> Eliane </w:t>
      </w:r>
      <w:r w:rsidRPr="005378AF">
        <w:rPr>
          <w:sz w:val="18"/>
          <w:szCs w:val="18"/>
        </w:rPr>
        <w:t>B</w:t>
      </w:r>
      <w:r>
        <w:rPr>
          <w:sz w:val="18"/>
          <w:szCs w:val="18"/>
        </w:rPr>
        <w:t>ortolanza</w:t>
      </w:r>
      <w:r w:rsidRPr="00512E4A">
        <w:rPr>
          <w:sz w:val="18"/>
          <w:szCs w:val="18"/>
        </w:rPr>
        <w:t xml:space="preserve"> </w:t>
      </w:r>
      <w:r w:rsidRPr="00512E4A">
        <w:rPr>
          <w:i/>
          <w:iCs/>
          <w:sz w:val="18"/>
          <w:szCs w:val="18"/>
        </w:rPr>
        <w:t>Notas para uma efectiva transversalização do género no PNDS (2012-2016).</w:t>
      </w:r>
      <w:r w:rsidRPr="00512E4A">
        <w:rPr>
          <w:sz w:val="18"/>
          <w:szCs w:val="18"/>
        </w:rPr>
        <w:t xml:space="preserve"> [Comentario 158, p.38]</w:t>
      </w:r>
      <w:r>
        <w:rPr>
          <w:sz w:val="18"/>
          <w:szCs w:val="18"/>
        </w:rPr>
        <w:t>.</w:t>
      </w:r>
      <w:r w:rsidRPr="00512E4A">
        <w:rPr>
          <w:sz w:val="18"/>
          <w:szCs w:val="18"/>
        </w:rPr>
        <w:t xml:space="preserve"> </w:t>
      </w:r>
    </w:p>
  </w:footnote>
  <w:footnote w:id="26">
    <w:p w:rsidR="008A7270" w:rsidRPr="00922FF3" w:rsidRDefault="008A7270" w:rsidP="004F127D">
      <w:pPr>
        <w:pStyle w:val="Textodenotaderodap"/>
        <w:jc w:val="both"/>
        <w:rPr>
          <w:sz w:val="18"/>
          <w:szCs w:val="18"/>
          <w:lang w:val="pt-BR"/>
        </w:rPr>
      </w:pPr>
      <w:r w:rsidRPr="00614872">
        <w:rPr>
          <w:rStyle w:val="Refdenotaderodap"/>
          <w:sz w:val="18"/>
          <w:szCs w:val="18"/>
        </w:rPr>
        <w:footnoteRef/>
      </w:r>
      <w:r w:rsidRPr="00614872">
        <w:rPr>
          <w:sz w:val="18"/>
          <w:szCs w:val="18"/>
        </w:rPr>
        <w:t xml:space="preserve"> INE &amp; Ministério da Saúde (2005). </w:t>
      </w:r>
      <w:r w:rsidRPr="00614872">
        <w:rPr>
          <w:i/>
          <w:iCs/>
          <w:sz w:val="18"/>
          <w:szCs w:val="18"/>
        </w:rPr>
        <w:t>2º Inquérito Demográfico e de Saúde Reprodutiva.</w:t>
      </w:r>
    </w:p>
  </w:footnote>
  <w:footnote w:id="27">
    <w:p w:rsidR="008A7270" w:rsidRPr="00922FF3" w:rsidRDefault="008A7270" w:rsidP="004F127D">
      <w:pPr>
        <w:jc w:val="both"/>
        <w:rPr>
          <w:sz w:val="18"/>
          <w:szCs w:val="18"/>
          <w:lang w:val="pt-BR"/>
        </w:rPr>
      </w:pPr>
      <w:r w:rsidRPr="00F60F57">
        <w:rPr>
          <w:rStyle w:val="Refdenotaderodap"/>
          <w:sz w:val="18"/>
          <w:szCs w:val="18"/>
        </w:rPr>
        <w:footnoteRef/>
      </w:r>
      <w:r w:rsidRPr="00922FF3">
        <w:rPr>
          <w:sz w:val="18"/>
          <w:szCs w:val="18"/>
          <w:lang w:val="pt-BR"/>
        </w:rPr>
        <w:t xml:space="preserve"> </w:t>
      </w:r>
      <w:r w:rsidRPr="00F60F57">
        <w:rPr>
          <w:sz w:val="18"/>
          <w:szCs w:val="18"/>
        </w:rPr>
        <w:t>Rosabal, M. (</w:t>
      </w:r>
      <w:r>
        <w:rPr>
          <w:sz w:val="18"/>
          <w:szCs w:val="18"/>
        </w:rPr>
        <w:t>2011</w:t>
      </w:r>
      <w:r w:rsidRPr="00F60F57">
        <w:rPr>
          <w:sz w:val="18"/>
          <w:szCs w:val="18"/>
        </w:rPr>
        <w:t xml:space="preserve">) </w:t>
      </w:r>
      <w:r w:rsidRPr="00F60F57">
        <w:rPr>
          <w:i/>
          <w:iCs/>
          <w:sz w:val="18"/>
          <w:szCs w:val="18"/>
        </w:rPr>
        <w:t>As faces (in)visíveis da violência de género.</w:t>
      </w:r>
      <w:r w:rsidRPr="00922FF3">
        <w:rPr>
          <w:sz w:val="18"/>
          <w:szCs w:val="18"/>
          <w:lang w:val="pt-BR"/>
        </w:rPr>
        <w:t xml:space="preserve"> </w:t>
      </w:r>
    </w:p>
  </w:footnote>
  <w:footnote w:id="28">
    <w:p w:rsidR="008A7270" w:rsidRPr="00167722" w:rsidRDefault="008A7270" w:rsidP="004F127D">
      <w:pPr>
        <w:pStyle w:val="Textodenotaderodap"/>
        <w:rPr>
          <w:rFonts w:cs="Arial"/>
          <w:sz w:val="18"/>
          <w:szCs w:val="18"/>
        </w:rPr>
      </w:pPr>
      <w:r w:rsidRPr="00167722">
        <w:rPr>
          <w:rStyle w:val="Refdenotaderodap"/>
          <w:sz w:val="18"/>
          <w:szCs w:val="18"/>
        </w:rPr>
        <w:footnoteRef/>
      </w:r>
      <w:r w:rsidRPr="00922FF3">
        <w:rPr>
          <w:sz w:val="18"/>
          <w:szCs w:val="18"/>
          <w:lang w:val="pt-BR"/>
        </w:rPr>
        <w:t xml:space="preserve"> </w:t>
      </w:r>
      <w:r w:rsidRPr="00167722">
        <w:rPr>
          <w:rFonts w:cs="Arial"/>
          <w:sz w:val="18"/>
          <w:szCs w:val="18"/>
        </w:rPr>
        <w:t>INE (2010) RGPH e INE (2013) IMC – Inquérito Multiobjectivo Contínuo.</w:t>
      </w:r>
    </w:p>
  </w:footnote>
  <w:footnote w:id="29">
    <w:p w:rsidR="008A7270" w:rsidRPr="00A3228E" w:rsidRDefault="008A7270" w:rsidP="004F127D">
      <w:pPr>
        <w:pStyle w:val="Textodenotaderodap"/>
        <w:jc w:val="both"/>
        <w:rPr>
          <w:sz w:val="18"/>
          <w:szCs w:val="18"/>
        </w:rPr>
      </w:pPr>
      <w:r>
        <w:rPr>
          <w:rStyle w:val="Refdenotaderodap"/>
        </w:rPr>
        <w:footnoteRef/>
      </w:r>
      <w:r w:rsidRPr="00922FF3">
        <w:rPr>
          <w:lang w:val="pt-BR"/>
        </w:rPr>
        <w:t xml:space="preserve"> </w:t>
      </w:r>
      <w:r w:rsidRPr="00A3228E">
        <w:rPr>
          <w:rFonts w:cs="Arial"/>
          <w:sz w:val="18"/>
          <w:szCs w:val="18"/>
        </w:rPr>
        <w:t xml:space="preserve">De referir </w:t>
      </w:r>
      <w:r>
        <w:rPr>
          <w:rFonts w:cs="Arial"/>
          <w:sz w:val="18"/>
          <w:szCs w:val="18"/>
        </w:rPr>
        <w:t xml:space="preserve">que existe alguma discrepância entre os dados administrativos e os </w:t>
      </w:r>
      <w:r w:rsidRPr="00A3228E">
        <w:rPr>
          <w:rFonts w:cs="Arial"/>
          <w:sz w:val="18"/>
          <w:szCs w:val="18"/>
        </w:rPr>
        <w:t>dados de inquérito</w:t>
      </w:r>
      <w:r>
        <w:rPr>
          <w:rFonts w:cs="Arial"/>
          <w:sz w:val="18"/>
          <w:szCs w:val="18"/>
        </w:rPr>
        <w:t xml:space="preserve">: </w:t>
      </w:r>
      <w:r w:rsidRPr="00A3228E">
        <w:rPr>
          <w:rFonts w:cs="Arial"/>
          <w:sz w:val="18"/>
          <w:szCs w:val="18"/>
        </w:rPr>
        <w:t>para</w:t>
      </w:r>
      <w:r>
        <w:rPr>
          <w:rFonts w:cs="Arial"/>
          <w:sz w:val="18"/>
          <w:szCs w:val="18"/>
        </w:rPr>
        <w:t xml:space="preserve"> o ano de 2012 os dados do </w:t>
      </w:r>
      <w:r w:rsidRPr="00A3228E">
        <w:rPr>
          <w:rFonts w:cs="Arial"/>
          <w:sz w:val="18"/>
          <w:szCs w:val="18"/>
        </w:rPr>
        <w:t>IMC aponta</w:t>
      </w:r>
      <w:r>
        <w:rPr>
          <w:rFonts w:cs="Arial"/>
          <w:sz w:val="18"/>
          <w:szCs w:val="18"/>
        </w:rPr>
        <w:t>m</w:t>
      </w:r>
      <w:r w:rsidRPr="00A3228E">
        <w:rPr>
          <w:rFonts w:cs="Arial"/>
          <w:sz w:val="18"/>
          <w:szCs w:val="18"/>
        </w:rPr>
        <w:t xml:space="preserve"> para uma taxa líquida de escolarização </w:t>
      </w:r>
      <w:r>
        <w:rPr>
          <w:rFonts w:cs="Arial"/>
          <w:sz w:val="18"/>
          <w:szCs w:val="18"/>
        </w:rPr>
        <w:t xml:space="preserve">de </w:t>
      </w:r>
      <w:r w:rsidRPr="00A3228E">
        <w:rPr>
          <w:rFonts w:cs="Arial"/>
          <w:sz w:val="18"/>
          <w:szCs w:val="18"/>
        </w:rPr>
        <w:t xml:space="preserve">96,6% e para uma discrepância entre rapazes e raparigas inferior a 1 ponto percentual </w:t>
      </w:r>
      <w:r>
        <w:rPr>
          <w:rFonts w:cs="Arial"/>
          <w:sz w:val="18"/>
          <w:szCs w:val="18"/>
        </w:rPr>
        <w:t xml:space="preserve">- </w:t>
      </w:r>
      <w:r w:rsidRPr="00A3228E">
        <w:rPr>
          <w:rFonts w:cs="Arial"/>
          <w:sz w:val="18"/>
          <w:szCs w:val="18"/>
        </w:rPr>
        <w:t>96,4% entre as raparigas e 96,9% entre os rapazes</w:t>
      </w:r>
      <w:r>
        <w:rPr>
          <w:rFonts w:cs="Arial"/>
          <w:sz w:val="18"/>
          <w:szCs w:val="18"/>
        </w:rPr>
        <w:t>.</w:t>
      </w:r>
    </w:p>
  </w:footnote>
  <w:footnote w:id="30">
    <w:p w:rsidR="008A7270" w:rsidRPr="00FB4B64" w:rsidRDefault="008A7270" w:rsidP="004F127D">
      <w:pPr>
        <w:pStyle w:val="Textodenotaderodap"/>
        <w:rPr>
          <w:sz w:val="18"/>
          <w:szCs w:val="18"/>
          <w:lang w:val="pt-BR"/>
        </w:rPr>
      </w:pPr>
      <w:r w:rsidRPr="00FB4B64">
        <w:rPr>
          <w:rStyle w:val="Refdenotaderodap"/>
          <w:sz w:val="18"/>
          <w:szCs w:val="18"/>
          <w:lang w:val="pt-BR"/>
        </w:rPr>
        <w:footnoteRef/>
      </w:r>
      <w:r w:rsidRPr="00FB4B64">
        <w:rPr>
          <w:sz w:val="18"/>
          <w:szCs w:val="18"/>
          <w:lang w:val="pt-BR"/>
        </w:rPr>
        <w:t xml:space="preserve"> Relatório ODM2</w:t>
      </w:r>
      <w:r>
        <w:rPr>
          <w:sz w:val="18"/>
          <w:szCs w:val="18"/>
          <w:lang w:val="pt-BR"/>
        </w:rPr>
        <w:t xml:space="preserve"> (2014), p. 7</w:t>
      </w:r>
    </w:p>
  </w:footnote>
  <w:footnote w:id="31">
    <w:p w:rsidR="008A7270" w:rsidRPr="00D155CC" w:rsidRDefault="008A7270" w:rsidP="004F127D">
      <w:pPr>
        <w:pStyle w:val="Textodenotaderodap"/>
        <w:jc w:val="both"/>
        <w:rPr>
          <w:sz w:val="18"/>
          <w:szCs w:val="18"/>
        </w:rPr>
      </w:pPr>
      <w:r>
        <w:rPr>
          <w:rStyle w:val="Refdenotaderodap"/>
        </w:rPr>
        <w:footnoteRef/>
      </w:r>
      <w:r w:rsidRPr="00922FF3">
        <w:rPr>
          <w:lang w:val="pt-BR"/>
        </w:rPr>
        <w:t xml:space="preserve"> </w:t>
      </w:r>
      <w:r w:rsidRPr="00D155CC">
        <w:rPr>
          <w:sz w:val="18"/>
          <w:szCs w:val="18"/>
        </w:rPr>
        <w:t xml:space="preserve">O ECA-Estatuto da Criança e do Adolescente </w:t>
      </w:r>
      <w:r>
        <w:rPr>
          <w:sz w:val="18"/>
          <w:szCs w:val="18"/>
        </w:rPr>
        <w:t>(</w:t>
      </w:r>
      <w:r w:rsidRPr="00F97AED">
        <w:rPr>
          <w:sz w:val="18"/>
          <w:szCs w:val="18"/>
        </w:rPr>
        <w:t>Lei 50/VIII/2013</w:t>
      </w:r>
      <w:r>
        <w:rPr>
          <w:sz w:val="18"/>
          <w:szCs w:val="18"/>
        </w:rPr>
        <w:t>, de 26 Dez</w:t>
      </w:r>
      <w:r w:rsidRPr="00F97AED">
        <w:rPr>
          <w:sz w:val="18"/>
          <w:szCs w:val="18"/>
        </w:rPr>
        <w:t xml:space="preserve">) </w:t>
      </w:r>
      <w:r w:rsidRPr="00D155CC">
        <w:rPr>
          <w:sz w:val="18"/>
          <w:szCs w:val="18"/>
        </w:rPr>
        <w:t>afirma que a criança/adolescente grávida não pode ser incentivada a interromper os estudos ou a abandonar a escola (Artigo 47).</w:t>
      </w:r>
    </w:p>
  </w:footnote>
  <w:footnote w:id="32">
    <w:p w:rsidR="008A7270" w:rsidRPr="00746D20" w:rsidRDefault="008A7270" w:rsidP="004F127D">
      <w:pPr>
        <w:pStyle w:val="Textodenotaderodap"/>
        <w:jc w:val="both"/>
        <w:rPr>
          <w:color w:val="FF0000"/>
          <w:sz w:val="18"/>
          <w:szCs w:val="18"/>
        </w:rPr>
      </w:pPr>
      <w:r w:rsidRPr="002A6C1D">
        <w:rPr>
          <w:rStyle w:val="Refdenotaderodap"/>
          <w:sz w:val="18"/>
          <w:szCs w:val="18"/>
        </w:rPr>
        <w:footnoteRef/>
      </w:r>
      <w:r w:rsidRPr="002A6C1D">
        <w:rPr>
          <w:sz w:val="18"/>
          <w:szCs w:val="18"/>
        </w:rPr>
        <w:t xml:space="preserve"> </w:t>
      </w:r>
      <w:r w:rsidRPr="00746D20">
        <w:rPr>
          <w:sz w:val="18"/>
          <w:szCs w:val="18"/>
        </w:rPr>
        <w:t>A nível global considera</w:t>
      </w:r>
      <w:r>
        <w:rPr>
          <w:sz w:val="18"/>
          <w:szCs w:val="18"/>
        </w:rPr>
        <w:t>-</w:t>
      </w:r>
      <w:r w:rsidRPr="00746D20">
        <w:rPr>
          <w:sz w:val="18"/>
          <w:szCs w:val="18"/>
        </w:rPr>
        <w:t xml:space="preserve">se que existe paridade na educação quando o índice de paridade </w:t>
      </w:r>
      <w:r>
        <w:rPr>
          <w:sz w:val="18"/>
          <w:szCs w:val="18"/>
        </w:rPr>
        <w:t>assume um valor entre 0,</w:t>
      </w:r>
      <w:r w:rsidRPr="00746D20">
        <w:rPr>
          <w:sz w:val="18"/>
          <w:szCs w:val="18"/>
        </w:rPr>
        <w:t xml:space="preserve">97 </w:t>
      </w:r>
      <w:r>
        <w:rPr>
          <w:sz w:val="18"/>
          <w:szCs w:val="18"/>
        </w:rPr>
        <w:t>e 1,</w:t>
      </w:r>
      <w:r w:rsidRPr="00746D20">
        <w:rPr>
          <w:sz w:val="18"/>
          <w:szCs w:val="18"/>
        </w:rPr>
        <w:t>03 (Relatório Global dos ODM, 2013)</w:t>
      </w:r>
      <w:r>
        <w:rPr>
          <w:sz w:val="18"/>
          <w:szCs w:val="18"/>
        </w:rPr>
        <w:t>.</w:t>
      </w:r>
      <w:r w:rsidRPr="00746D20">
        <w:rPr>
          <w:sz w:val="18"/>
          <w:szCs w:val="18"/>
        </w:rPr>
        <w:t xml:space="preserve"> </w:t>
      </w:r>
      <w:r>
        <w:rPr>
          <w:sz w:val="18"/>
          <w:szCs w:val="18"/>
        </w:rPr>
        <w:t>O fa</w:t>
      </w:r>
      <w:r w:rsidRPr="00746D20">
        <w:rPr>
          <w:sz w:val="18"/>
          <w:szCs w:val="18"/>
        </w:rPr>
        <w:t>to das raparigas demonstrarem globalmente um melhor desempenho escolar e menor abandono não significa que a questão de género esteja resolvida</w:t>
      </w:r>
      <w:r>
        <w:rPr>
          <w:sz w:val="18"/>
          <w:szCs w:val="18"/>
        </w:rPr>
        <w:t xml:space="preserve">: </w:t>
      </w:r>
      <w:r w:rsidRPr="00746D20">
        <w:rPr>
          <w:sz w:val="18"/>
          <w:szCs w:val="18"/>
        </w:rPr>
        <w:t>os fossos registados no desempenho e abando por parte dos rapazes constitu</w:t>
      </w:r>
      <w:r>
        <w:rPr>
          <w:sz w:val="18"/>
          <w:szCs w:val="18"/>
        </w:rPr>
        <w:t>em</w:t>
      </w:r>
      <w:r w:rsidRPr="00746D20">
        <w:rPr>
          <w:sz w:val="18"/>
          <w:szCs w:val="18"/>
        </w:rPr>
        <w:t>-se como um desafio de género a equacionar.</w:t>
      </w:r>
    </w:p>
  </w:footnote>
  <w:footnote w:id="33">
    <w:p w:rsidR="008A7270" w:rsidRPr="00F60F57" w:rsidRDefault="008A7270" w:rsidP="004F127D">
      <w:pPr>
        <w:pStyle w:val="Textodenotaderodap"/>
        <w:jc w:val="both"/>
        <w:rPr>
          <w:sz w:val="18"/>
          <w:szCs w:val="18"/>
        </w:rPr>
      </w:pPr>
      <w:r w:rsidRPr="00F60F57">
        <w:rPr>
          <w:rStyle w:val="Refdenotaderodap"/>
          <w:sz w:val="18"/>
          <w:szCs w:val="18"/>
        </w:rPr>
        <w:footnoteRef/>
      </w:r>
      <w:r w:rsidRPr="00922FF3">
        <w:rPr>
          <w:sz w:val="18"/>
          <w:szCs w:val="18"/>
          <w:lang w:val="pt-BR"/>
        </w:rPr>
        <w:t xml:space="preserve"> </w:t>
      </w:r>
      <w:r w:rsidRPr="00F60F57">
        <w:rPr>
          <w:sz w:val="18"/>
          <w:szCs w:val="18"/>
        </w:rPr>
        <w:t>INE (2013) Inquérito Multiobjectivos Contínuo: Estatísticas do Emprego e do Mercado de Trabalho (IMC-EEMT)</w:t>
      </w:r>
      <w:r>
        <w:rPr>
          <w:sz w:val="18"/>
          <w:szCs w:val="18"/>
        </w:rPr>
        <w:t>.</w:t>
      </w:r>
    </w:p>
  </w:footnote>
  <w:footnote w:id="34">
    <w:p w:rsidR="008A7270" w:rsidRPr="00F60F57" w:rsidRDefault="008A7270" w:rsidP="004F127D">
      <w:pPr>
        <w:pStyle w:val="Textodenotaderodap"/>
        <w:jc w:val="both"/>
        <w:rPr>
          <w:sz w:val="18"/>
          <w:szCs w:val="18"/>
        </w:rPr>
      </w:pPr>
      <w:r w:rsidRPr="00F60F57">
        <w:rPr>
          <w:rStyle w:val="Refdenotaderodap"/>
          <w:sz w:val="18"/>
          <w:szCs w:val="18"/>
        </w:rPr>
        <w:footnoteRef/>
      </w:r>
      <w:r w:rsidRPr="00922FF3">
        <w:rPr>
          <w:sz w:val="18"/>
          <w:szCs w:val="18"/>
          <w:lang w:val="pt-BR"/>
        </w:rPr>
        <w:t xml:space="preserve"> </w:t>
      </w:r>
      <w:r w:rsidRPr="00F60F57">
        <w:rPr>
          <w:sz w:val="18"/>
          <w:szCs w:val="18"/>
        </w:rPr>
        <w:t>INE (2012) Inquérito Multiobjectivos Contínuo: Estatísticas do Emprego e do Mercado de Trabalho (IMC-EEMT)</w:t>
      </w:r>
      <w:r>
        <w:rPr>
          <w:sz w:val="18"/>
          <w:szCs w:val="18"/>
        </w:rPr>
        <w:t>.</w:t>
      </w:r>
    </w:p>
  </w:footnote>
  <w:footnote w:id="35">
    <w:p w:rsidR="008A7270" w:rsidRPr="006D5531" w:rsidRDefault="008A7270" w:rsidP="004F127D">
      <w:pPr>
        <w:pStyle w:val="Textodenotaderodap"/>
        <w:jc w:val="both"/>
        <w:rPr>
          <w:sz w:val="18"/>
          <w:szCs w:val="18"/>
        </w:rPr>
      </w:pPr>
      <w:r w:rsidRPr="006D5531">
        <w:rPr>
          <w:rStyle w:val="Refdenotaderodap"/>
          <w:sz w:val="18"/>
          <w:szCs w:val="18"/>
        </w:rPr>
        <w:footnoteRef/>
      </w:r>
      <w:r w:rsidRPr="00922FF3">
        <w:rPr>
          <w:sz w:val="18"/>
          <w:szCs w:val="18"/>
          <w:lang w:val="pt-BR"/>
        </w:rPr>
        <w:t xml:space="preserve"> Censo 2010, dados sobre o principal </w:t>
      </w:r>
      <w:r w:rsidRPr="00E2730B">
        <w:rPr>
          <w:sz w:val="18"/>
          <w:szCs w:val="18"/>
        </w:rPr>
        <w:t>meio</w:t>
      </w:r>
      <w:r w:rsidRPr="00922FF3">
        <w:rPr>
          <w:sz w:val="18"/>
          <w:szCs w:val="18"/>
          <w:lang w:val="pt-BR"/>
        </w:rPr>
        <w:t xml:space="preserve"> de vida </w:t>
      </w:r>
    </w:p>
  </w:footnote>
  <w:footnote w:id="36">
    <w:p w:rsidR="008A7270" w:rsidRPr="0092416B" w:rsidRDefault="008A7270" w:rsidP="004F127D">
      <w:pPr>
        <w:pStyle w:val="Textodenotaderodap"/>
        <w:rPr>
          <w:sz w:val="18"/>
          <w:szCs w:val="18"/>
          <w:lang w:val="pt-BR"/>
        </w:rPr>
      </w:pPr>
      <w:r>
        <w:rPr>
          <w:rStyle w:val="Refdenotaderodap"/>
        </w:rPr>
        <w:footnoteRef/>
      </w:r>
      <w:r w:rsidRPr="0092416B">
        <w:rPr>
          <w:lang w:val="pt-BR"/>
        </w:rPr>
        <w:t xml:space="preserve"> </w:t>
      </w:r>
      <w:r w:rsidRPr="0092416B">
        <w:rPr>
          <w:sz w:val="18"/>
          <w:szCs w:val="18"/>
          <w:lang w:val="pt-BR"/>
        </w:rPr>
        <w:t>INE (2009) Inquérito ao Emprego e Sector Informal</w:t>
      </w:r>
      <w:r w:rsidRPr="00153202">
        <w:rPr>
          <w:sz w:val="18"/>
          <w:szCs w:val="18"/>
        </w:rPr>
        <w:t xml:space="preserve"> (IESI</w:t>
      </w:r>
      <w:r>
        <w:rPr>
          <w:sz w:val="18"/>
          <w:szCs w:val="18"/>
        </w:rPr>
        <w:t>)</w:t>
      </w:r>
    </w:p>
  </w:footnote>
  <w:footnote w:id="37">
    <w:p w:rsidR="008A7270" w:rsidRPr="00614872" w:rsidRDefault="008A7270" w:rsidP="004F127D">
      <w:pPr>
        <w:pStyle w:val="Textodenotaderodap"/>
        <w:jc w:val="both"/>
        <w:rPr>
          <w:sz w:val="18"/>
          <w:szCs w:val="18"/>
        </w:rPr>
      </w:pPr>
      <w:r w:rsidRPr="00614872">
        <w:rPr>
          <w:rStyle w:val="Refdenotaderodap"/>
          <w:sz w:val="18"/>
          <w:szCs w:val="18"/>
        </w:rPr>
        <w:footnoteRef/>
      </w:r>
      <w:r w:rsidRPr="00614872">
        <w:rPr>
          <w:sz w:val="18"/>
          <w:szCs w:val="18"/>
        </w:rPr>
        <w:t xml:space="preserve"> A análise considera as horas trabalhadas (menos de 40 horas semanais em pessoas que declaram estar disponíveis para trabalhar mais horas, caso tivessem encontrado uma outra actividade).</w:t>
      </w:r>
    </w:p>
  </w:footnote>
  <w:footnote w:id="38">
    <w:p w:rsidR="008A7270" w:rsidRPr="00614872" w:rsidRDefault="008A7270" w:rsidP="004F127D">
      <w:pPr>
        <w:pStyle w:val="Textodenotaderodap"/>
        <w:jc w:val="both"/>
        <w:rPr>
          <w:sz w:val="18"/>
          <w:szCs w:val="18"/>
        </w:rPr>
      </w:pPr>
      <w:r w:rsidRPr="00614872">
        <w:rPr>
          <w:rStyle w:val="Refdenotaderodap"/>
          <w:sz w:val="18"/>
          <w:szCs w:val="18"/>
        </w:rPr>
        <w:footnoteRef/>
      </w:r>
      <w:r w:rsidRPr="00614872">
        <w:rPr>
          <w:rStyle w:val="Refdenotaderodap"/>
          <w:sz w:val="18"/>
          <w:szCs w:val="18"/>
        </w:rPr>
        <w:t xml:space="preserve"> </w:t>
      </w:r>
      <w:r w:rsidRPr="00614872">
        <w:rPr>
          <w:sz w:val="18"/>
          <w:szCs w:val="18"/>
        </w:rPr>
        <w:t>Indicador usado no quadro do seguimento global e nacional dos ODM (especificamente do ODM 1)</w:t>
      </w:r>
      <w:r>
        <w:rPr>
          <w:sz w:val="18"/>
          <w:szCs w:val="18"/>
        </w:rPr>
        <w:t>.</w:t>
      </w:r>
    </w:p>
  </w:footnote>
  <w:footnote w:id="39">
    <w:p w:rsidR="008A7270" w:rsidRPr="00614872" w:rsidRDefault="008A7270" w:rsidP="004F127D">
      <w:pPr>
        <w:pStyle w:val="Textodenotaderodap"/>
        <w:jc w:val="both"/>
        <w:rPr>
          <w:sz w:val="18"/>
          <w:szCs w:val="18"/>
        </w:rPr>
      </w:pPr>
      <w:r w:rsidRPr="00614872">
        <w:rPr>
          <w:rStyle w:val="Refdenotaderodap"/>
          <w:sz w:val="18"/>
          <w:szCs w:val="18"/>
        </w:rPr>
        <w:footnoteRef/>
      </w:r>
      <w:r w:rsidRPr="00614872">
        <w:rPr>
          <w:sz w:val="18"/>
          <w:szCs w:val="18"/>
        </w:rPr>
        <w:t xml:space="preserve"> </w:t>
      </w:r>
      <w:r w:rsidRPr="00614872">
        <w:rPr>
          <w:rFonts w:eastAsia="Times New Roman"/>
          <w:color w:val="000000"/>
          <w:sz w:val="18"/>
          <w:szCs w:val="18"/>
        </w:rPr>
        <w:t xml:space="preserve">O inquérito considerou crianças dos 5 aos 17 anos e verificou que </w:t>
      </w:r>
      <w:r w:rsidRPr="00614872">
        <w:rPr>
          <w:rFonts w:eastAsia="Times New Roman"/>
          <w:color w:val="000000"/>
          <w:sz w:val="18"/>
          <w:szCs w:val="18"/>
          <w:lang w:val="pt-BR"/>
        </w:rPr>
        <w:t xml:space="preserve">10.913 crianças </w:t>
      </w:r>
      <w:r w:rsidRPr="00614872">
        <w:rPr>
          <w:rFonts w:eastAsia="Times New Roman"/>
          <w:color w:val="000000"/>
          <w:sz w:val="18"/>
          <w:szCs w:val="18"/>
        </w:rPr>
        <w:t>exercem uma actividade económica, o que representa 8% do total das crianças; 70% das actividades foram consideradas perigosas e a abolir, afectando globalmente cerca de 8% dos rapazes em Cabo Verde e 4% das raparigas.</w:t>
      </w:r>
    </w:p>
  </w:footnote>
  <w:footnote w:id="40">
    <w:p w:rsidR="008A7270" w:rsidRPr="00167722" w:rsidRDefault="008A7270" w:rsidP="004F127D">
      <w:pPr>
        <w:pStyle w:val="Textodenotaderodap"/>
        <w:jc w:val="both"/>
        <w:rPr>
          <w:sz w:val="18"/>
          <w:szCs w:val="18"/>
          <w:lang w:val="pt-BR"/>
        </w:rPr>
      </w:pPr>
      <w:r w:rsidRPr="00167722">
        <w:rPr>
          <w:rStyle w:val="Refdenotaderodap"/>
          <w:sz w:val="18"/>
          <w:szCs w:val="18"/>
          <w:lang w:val="pt-BR"/>
        </w:rPr>
        <w:footnoteRef/>
      </w:r>
      <w:r w:rsidRPr="00167722">
        <w:rPr>
          <w:sz w:val="18"/>
          <w:szCs w:val="18"/>
          <w:lang w:val="pt-BR"/>
        </w:rPr>
        <w:t xml:space="preserve"> INE (2014). </w:t>
      </w:r>
      <w:r w:rsidRPr="00167722">
        <w:rPr>
          <w:i/>
          <w:iCs/>
          <w:sz w:val="18"/>
          <w:szCs w:val="18"/>
          <w:lang w:val="pt-BR"/>
        </w:rPr>
        <w:t>Inquérito Multi-objectivo Contínuo Relatório do Módulo Uso do Tempo e Trabalho Não Remunerado, em Cabo Verde 2012</w:t>
      </w:r>
      <w:r w:rsidRPr="00167722">
        <w:rPr>
          <w:sz w:val="18"/>
          <w:szCs w:val="18"/>
          <w:lang w:val="pt-BR"/>
        </w:rPr>
        <w:t>, p.99.</w:t>
      </w:r>
    </w:p>
  </w:footnote>
  <w:footnote w:id="41">
    <w:p w:rsidR="008A7270" w:rsidRPr="00167722" w:rsidRDefault="008A7270" w:rsidP="004F127D">
      <w:pPr>
        <w:pStyle w:val="Textodenotaderodap"/>
        <w:jc w:val="both"/>
        <w:rPr>
          <w:sz w:val="18"/>
          <w:szCs w:val="18"/>
          <w:lang w:val="pt-BR"/>
        </w:rPr>
      </w:pPr>
      <w:r w:rsidRPr="00167722">
        <w:rPr>
          <w:rStyle w:val="Refdenotaderodap"/>
          <w:sz w:val="18"/>
          <w:szCs w:val="18"/>
          <w:lang w:val="pt-BR"/>
        </w:rPr>
        <w:footnoteRef/>
      </w:r>
      <w:r w:rsidRPr="00167722">
        <w:rPr>
          <w:sz w:val="18"/>
          <w:szCs w:val="18"/>
          <w:lang w:val="pt-BR"/>
        </w:rPr>
        <w:t xml:space="preserve"> Ibid, p.38.</w:t>
      </w:r>
    </w:p>
  </w:footnote>
  <w:footnote w:id="42">
    <w:p w:rsidR="008A7270" w:rsidRPr="00260071" w:rsidRDefault="008A7270" w:rsidP="004F127D">
      <w:pPr>
        <w:pStyle w:val="Textodenotaderodap"/>
        <w:jc w:val="both"/>
        <w:rPr>
          <w:sz w:val="18"/>
          <w:szCs w:val="18"/>
        </w:rPr>
      </w:pPr>
      <w:r w:rsidRPr="00260071">
        <w:rPr>
          <w:rStyle w:val="Refdenotaderodap"/>
          <w:sz w:val="18"/>
          <w:szCs w:val="18"/>
        </w:rPr>
        <w:footnoteRef/>
      </w:r>
      <w:r w:rsidRPr="00922FF3">
        <w:rPr>
          <w:sz w:val="18"/>
          <w:szCs w:val="18"/>
          <w:lang w:val="pt-BR"/>
        </w:rPr>
        <w:t xml:space="preserve"> </w:t>
      </w:r>
      <w:r w:rsidRPr="00260071">
        <w:rPr>
          <w:sz w:val="18"/>
          <w:szCs w:val="18"/>
        </w:rPr>
        <w:t>Concretamente as pastas ministeriais das Finanças, Administração Interna, Infra-estruturas e Economia Marítima, Desenvolvimento Rural, Emprego e Juventude e Recursos Humanos, Educação, Comunidades, sendo uma mulher Ministra-adjunta do Primeiro-ministro e Ministra da Saúde.</w:t>
      </w:r>
    </w:p>
  </w:footnote>
  <w:footnote w:id="43">
    <w:p w:rsidR="008A7270" w:rsidRPr="00614872" w:rsidRDefault="008A7270" w:rsidP="004F127D">
      <w:pPr>
        <w:pStyle w:val="Textodenotaderodap"/>
        <w:jc w:val="both"/>
        <w:rPr>
          <w:sz w:val="18"/>
          <w:szCs w:val="18"/>
        </w:rPr>
      </w:pPr>
      <w:r w:rsidRPr="00614872">
        <w:rPr>
          <w:rStyle w:val="Refdenotaderodap"/>
          <w:sz w:val="18"/>
          <w:szCs w:val="18"/>
        </w:rPr>
        <w:footnoteRef/>
      </w:r>
      <w:r w:rsidRPr="00922FF3">
        <w:rPr>
          <w:sz w:val="18"/>
          <w:szCs w:val="18"/>
          <w:lang w:val="pt-BR"/>
        </w:rPr>
        <w:t xml:space="preserve"> </w:t>
      </w:r>
      <w:r w:rsidRPr="00614872">
        <w:rPr>
          <w:rFonts w:cs="TheSansLight-Plain"/>
          <w:sz w:val="18"/>
          <w:szCs w:val="18"/>
        </w:rPr>
        <w:t>As 12 áreas críticas da situação das mulheres são a (A) pobreza, (B) Educação e formação, (C) Saúde, (D) Violência contra as mulheres, (E) Conflitos armados, (F) Economia, (G) Poder e tomada de decisões, (H) Mecanismos institucionais, (I) Direitos humanos das mulheres, (J) Media, (K) Meio ambiente, (L) Meninas</w:t>
      </w:r>
    </w:p>
  </w:footnote>
  <w:footnote w:id="44">
    <w:p w:rsidR="008A7270" w:rsidRPr="00922FF3" w:rsidRDefault="008A7270" w:rsidP="004F127D">
      <w:pPr>
        <w:pStyle w:val="Textodenotaderodap"/>
        <w:jc w:val="both"/>
        <w:rPr>
          <w:sz w:val="18"/>
          <w:szCs w:val="18"/>
          <w:lang w:val="pt-BR"/>
        </w:rPr>
      </w:pPr>
      <w:r w:rsidRPr="00614872">
        <w:rPr>
          <w:rStyle w:val="Refdenotaderodap"/>
          <w:sz w:val="18"/>
          <w:szCs w:val="18"/>
        </w:rPr>
        <w:footnoteRef/>
      </w:r>
      <w:r w:rsidRPr="00922FF3">
        <w:rPr>
          <w:sz w:val="18"/>
          <w:szCs w:val="18"/>
          <w:lang w:val="pt-BR"/>
        </w:rPr>
        <w:t xml:space="preserve"> </w:t>
      </w:r>
      <w:r w:rsidRPr="00614872">
        <w:rPr>
          <w:sz w:val="18"/>
          <w:szCs w:val="18"/>
        </w:rPr>
        <w:t>“</w:t>
      </w:r>
      <w:r w:rsidRPr="00614872">
        <w:rPr>
          <w:i/>
          <w:sz w:val="18"/>
          <w:szCs w:val="18"/>
        </w:rPr>
        <w:t>O Futuro que Queremos</w:t>
      </w:r>
      <w:r w:rsidRPr="00614872">
        <w:rPr>
          <w:sz w:val="18"/>
          <w:szCs w:val="18"/>
        </w:rPr>
        <w:t xml:space="preserve">” Documento </w:t>
      </w:r>
      <w:r w:rsidRPr="00614872">
        <w:rPr>
          <w:rFonts w:cs="TheSansLight-Plain"/>
          <w:sz w:val="18"/>
          <w:szCs w:val="18"/>
        </w:rPr>
        <w:t xml:space="preserve">saído da </w:t>
      </w:r>
      <w:r w:rsidRPr="00614872">
        <w:rPr>
          <w:sz w:val="18"/>
          <w:szCs w:val="18"/>
        </w:rPr>
        <w:t xml:space="preserve">Conferência das Nações Unidas sobre Desenvolvimento Sustentável (Rio+20, 2002) </w:t>
      </w:r>
      <w:r w:rsidRPr="00922FF3">
        <w:rPr>
          <w:sz w:val="18"/>
          <w:szCs w:val="18"/>
          <w:lang w:val="pt-BR"/>
        </w:rPr>
        <w:t xml:space="preserve">Tradução livre, parágrafo 31 </w:t>
      </w:r>
    </w:p>
  </w:footnote>
  <w:footnote w:id="45">
    <w:p w:rsidR="008A7270" w:rsidRPr="0093591F" w:rsidRDefault="008A7270" w:rsidP="004F127D">
      <w:pPr>
        <w:pStyle w:val="Textodenotaderodap"/>
        <w:jc w:val="both"/>
        <w:rPr>
          <w:sz w:val="18"/>
          <w:szCs w:val="18"/>
        </w:rPr>
      </w:pPr>
      <w:r>
        <w:rPr>
          <w:rStyle w:val="Refdenotaderodap"/>
        </w:rPr>
        <w:footnoteRef/>
      </w:r>
      <w:r w:rsidRPr="00922FF3">
        <w:rPr>
          <w:lang w:val="pt-BR"/>
        </w:rPr>
        <w:t xml:space="preserve"> </w:t>
      </w:r>
      <w:r w:rsidRPr="0093591F">
        <w:rPr>
          <w:sz w:val="18"/>
          <w:szCs w:val="18"/>
        </w:rPr>
        <w:t>Anteprojecto da Lei que regula as condições de entrada, permanência, saída e afastamento de estrangeiros do território de Cabo Verde,</w:t>
      </w:r>
      <w:r w:rsidRPr="00922FF3">
        <w:rPr>
          <w:sz w:val="18"/>
          <w:szCs w:val="18"/>
          <w:lang w:val="pt-BR"/>
        </w:rPr>
        <w:t xml:space="preserve"> </w:t>
      </w:r>
      <w:r w:rsidRPr="0093591F">
        <w:rPr>
          <w:sz w:val="18"/>
          <w:szCs w:val="18"/>
        </w:rPr>
        <w:t>aprovado pelo Parlamento na generalidade</w:t>
      </w:r>
      <w:r>
        <w:rPr>
          <w:sz w:val="18"/>
          <w:szCs w:val="18"/>
        </w:rPr>
        <w:t xml:space="preserve">, </w:t>
      </w:r>
      <w:r w:rsidRPr="0093591F">
        <w:rPr>
          <w:sz w:val="18"/>
          <w:szCs w:val="18"/>
        </w:rPr>
        <w:t>está sendo analisado na especialidade.</w:t>
      </w:r>
    </w:p>
  </w:footnote>
  <w:footnote w:id="46">
    <w:p w:rsidR="008A7270" w:rsidRPr="00E01A31" w:rsidRDefault="008A7270" w:rsidP="004F127D">
      <w:pPr>
        <w:pStyle w:val="Textodenotaderodap"/>
        <w:rPr>
          <w:sz w:val="18"/>
          <w:szCs w:val="18"/>
        </w:rPr>
      </w:pPr>
      <w:r w:rsidRPr="00E01A31">
        <w:rPr>
          <w:rStyle w:val="Refdenotaderodap"/>
          <w:sz w:val="18"/>
          <w:szCs w:val="18"/>
        </w:rPr>
        <w:footnoteRef/>
      </w:r>
      <w:r w:rsidRPr="00E01A31">
        <w:rPr>
          <w:sz w:val="18"/>
          <w:szCs w:val="18"/>
        </w:rPr>
        <w:t xml:space="preserve"> </w:t>
      </w:r>
      <w:r w:rsidRPr="005B7A16">
        <w:rPr>
          <w:i/>
          <w:iCs/>
          <w:sz w:val="18"/>
          <w:szCs w:val="18"/>
        </w:rPr>
        <w:t>Estratégia de Crescimento e de Redução da Pobreza III (2012 – 2016)</w:t>
      </w:r>
      <w:r>
        <w:rPr>
          <w:sz w:val="18"/>
          <w:szCs w:val="18"/>
        </w:rPr>
        <w:t>. República de Cabo Verde, p. 101</w:t>
      </w:r>
    </w:p>
  </w:footnote>
  <w:footnote w:id="47">
    <w:p w:rsidR="008A7270" w:rsidRPr="004F26A8" w:rsidRDefault="008A7270" w:rsidP="004F127D">
      <w:pPr>
        <w:pStyle w:val="Textodenotaderodap"/>
        <w:rPr>
          <w:sz w:val="18"/>
          <w:szCs w:val="18"/>
          <w:lang w:val="pt-BR"/>
        </w:rPr>
      </w:pPr>
      <w:r>
        <w:rPr>
          <w:rStyle w:val="Refdenotaderodap"/>
        </w:rPr>
        <w:footnoteRef/>
      </w:r>
      <w:r w:rsidRPr="004F26A8">
        <w:rPr>
          <w:lang w:val="pt-BR"/>
        </w:rPr>
        <w:t xml:space="preserve"> </w:t>
      </w:r>
      <w:r w:rsidRPr="004F26A8">
        <w:rPr>
          <w:sz w:val="18"/>
          <w:szCs w:val="18"/>
          <w:lang w:val="pt-BR"/>
        </w:rPr>
        <w:t>Decreto-lei Nº 4/2003 de Agosto de 2003. Artigo 3.  Estatuto do Instituto da Condição Feminina; foram indicados para fazer parte do Conselho Consultivo o Ministério de Educação e Ensino Superior, o Ministério de Finanças e Administração Pública, o Ministério de Agricultura e Ambiente, o Ministério do Trabalho, Família e Solidariedade, o Ministério de Justiça, a OMCV, o Programa Nacional de Saúde Reprodutiva, a MORABI, e a REDMEC.</w:t>
      </w:r>
    </w:p>
  </w:footnote>
  <w:footnote w:id="48">
    <w:p w:rsidR="008A7270" w:rsidRPr="00DE5F6F" w:rsidRDefault="008A7270">
      <w:pPr>
        <w:pStyle w:val="Textodenotaderodap"/>
        <w:rPr>
          <w:lang w:val="pt-BR"/>
        </w:rPr>
      </w:pPr>
      <w:r w:rsidRPr="00DE5F6F">
        <w:rPr>
          <w:rStyle w:val="Refdenotaderodap"/>
        </w:rPr>
        <w:footnoteRef/>
      </w:r>
      <w:r w:rsidRPr="00DE5F6F">
        <w:rPr>
          <w:lang w:val="pt-BR"/>
        </w:rPr>
        <w:t xml:space="preserve"> </w:t>
      </w:r>
      <w:r w:rsidRPr="00DE5F6F">
        <w:rPr>
          <w:rFonts w:ascii="Calibri" w:hAnsi="Calibri"/>
        </w:rPr>
        <w:t>anteriormente Programa Nacional de Luta conta a Pobreza</w:t>
      </w:r>
      <w:r>
        <w:rPr>
          <w:rFonts w:ascii="Calibri" w:hAnsi="Calibri"/>
        </w:rPr>
        <w:t xml:space="preserve"> (</w:t>
      </w:r>
      <w:r w:rsidRPr="00DE5F6F">
        <w:rPr>
          <w:rFonts w:ascii="Calibri" w:hAnsi="Calibri"/>
        </w:rPr>
        <w:t>PNLP</w:t>
      </w:r>
      <w:r>
        <w:rPr>
          <w:rFonts w:ascii="Calibri" w:hAnsi="Calibri"/>
        </w:rPr>
        <w:t>)</w:t>
      </w:r>
      <w:r w:rsidRPr="00DE5F6F">
        <w:rPr>
          <w:rFonts w:ascii="Calibri" w:hAnsi="Calibri"/>
        </w:rPr>
        <w:t>,</w:t>
      </w:r>
    </w:p>
  </w:footnote>
  <w:footnote w:id="49">
    <w:p w:rsidR="008A7270" w:rsidRPr="00673132" w:rsidRDefault="008A7270" w:rsidP="004F127D">
      <w:pPr>
        <w:jc w:val="both"/>
        <w:rPr>
          <w:sz w:val="18"/>
          <w:szCs w:val="18"/>
        </w:rPr>
      </w:pPr>
      <w:r>
        <w:rPr>
          <w:rStyle w:val="Refdenotaderodap"/>
        </w:rPr>
        <w:footnoteRef/>
      </w:r>
      <w:r w:rsidRPr="004F26A8">
        <w:rPr>
          <w:lang w:val="pt-BR"/>
        </w:rPr>
        <w:t xml:space="preserve"> </w:t>
      </w:r>
      <w:r w:rsidRPr="00673132">
        <w:rPr>
          <w:sz w:val="18"/>
          <w:szCs w:val="18"/>
        </w:rPr>
        <w:t xml:space="preserve">Composição do Comité: Ministério da Justiça, Ministério da Educação e Desporto, Ministério do Ensino Superior, Ciência e Inovação, Ministério da Saúde, Ministério da Juventude, Emprego e Desenvolvimento dos Recursos Humanos (Direcção Geral do Trabalho e Direcção Geral de Solidariedade Social), Ministério da Administração Interna, ICIEG, tutela a Comunicação Social, OSC promotoras da igualdade de género (rotatividade da representação), Rede de Mulheres Parlamentares. </w:t>
      </w:r>
    </w:p>
  </w:footnote>
  <w:footnote w:id="50">
    <w:p w:rsidR="008A7270" w:rsidRPr="00673132" w:rsidRDefault="008A7270" w:rsidP="004F127D">
      <w:pPr>
        <w:pStyle w:val="Textodenotaderodap"/>
        <w:jc w:val="both"/>
        <w:rPr>
          <w:sz w:val="18"/>
          <w:szCs w:val="18"/>
        </w:rPr>
      </w:pPr>
      <w:r w:rsidRPr="00673132">
        <w:rPr>
          <w:rStyle w:val="Refdenotaderodap"/>
        </w:rPr>
        <w:footnoteRef/>
      </w:r>
      <w:r w:rsidRPr="00673132">
        <w:t xml:space="preserve"> </w:t>
      </w:r>
      <w:r w:rsidRPr="00673132">
        <w:rPr>
          <w:sz w:val="18"/>
          <w:szCs w:val="18"/>
        </w:rPr>
        <w:t xml:space="preserve">O núcleo </w:t>
      </w:r>
      <w:r w:rsidRPr="00673132">
        <w:rPr>
          <w:color w:val="000000"/>
          <w:sz w:val="18"/>
          <w:szCs w:val="18"/>
        </w:rPr>
        <w:t>em matéria de Género, Migrações e Desenvo</w:t>
      </w:r>
      <w:r>
        <w:rPr>
          <w:color w:val="000000"/>
          <w:sz w:val="18"/>
          <w:szCs w:val="18"/>
        </w:rPr>
        <w:t>lvimento, insere-s</w:t>
      </w:r>
      <w:r w:rsidRPr="00673132">
        <w:rPr>
          <w:color w:val="000000"/>
          <w:sz w:val="18"/>
          <w:szCs w:val="18"/>
        </w:rPr>
        <w:t>e em projectos internacionais neste domínio, juntamente com outras Universidades/Centros; o Laboratório de Investigação em Género (LIG) atribui bolsas de iniciação à pesquisa e subsídios de trabalhos de campo no domínio do género, e orientação dos respectivos trabalhos. Conta com 5 subnúcleos, (i) Género e Família em Cabo Verde, (ii) Experiências de Masculinidades em Cabo Verde, (iii) Género e Migrações, (iv) Género e Violência, e (v) Género e Desenvolvimento. Neste contexto encontram-se em elaboração, ou foram já finalizados, 14 teses de Mestrado ou Doutoramento.</w:t>
      </w:r>
    </w:p>
  </w:footnote>
  <w:footnote w:id="51">
    <w:p w:rsidR="008A7270" w:rsidRPr="00673132" w:rsidRDefault="008A7270" w:rsidP="004F127D">
      <w:pPr>
        <w:pStyle w:val="Textodenotaderodap"/>
      </w:pPr>
      <w:r w:rsidRPr="00673132">
        <w:rPr>
          <w:rStyle w:val="Refdenotaderodap"/>
        </w:rPr>
        <w:footnoteRef/>
      </w:r>
      <w:r w:rsidRPr="00673132">
        <w:t xml:space="preserve"> </w:t>
      </w:r>
      <w:r w:rsidRPr="00673132">
        <w:rPr>
          <w:color w:val="000000"/>
          <w:sz w:val="18"/>
          <w:szCs w:val="18"/>
        </w:rPr>
        <w:t xml:space="preserve">Seminários: Género, família e migrações, em 2014; Género, sexualidade e dinâmicas familiares, em 2013; Família, violência e género, 2012; Olhares de Mulheres sobre Cabo Verde em 2010, no formato de ciclo de conferências mensais, cada uma apresentando e debatendo dois trabalhos de especialistas cabo-verdianas). Publicações nas áreas cobertas pelos núcleos de pesquisa do CIGEF e, nesse mesmo âmbito, do documentário </w:t>
      </w:r>
      <w:r w:rsidRPr="00673132">
        <w:rPr>
          <w:i/>
          <w:color w:val="000000"/>
          <w:sz w:val="18"/>
          <w:szCs w:val="18"/>
        </w:rPr>
        <w:t>A Ilha das Mulheres</w:t>
      </w:r>
      <w:r w:rsidRPr="00673132">
        <w:rPr>
          <w:color w:val="000000"/>
          <w:sz w:val="18"/>
          <w:szCs w:val="18"/>
        </w:rPr>
        <w:t>.</w:t>
      </w:r>
    </w:p>
  </w:footnote>
  <w:footnote w:id="52">
    <w:p w:rsidR="008A7270" w:rsidRPr="004F26A8" w:rsidRDefault="008A7270" w:rsidP="004F127D">
      <w:pPr>
        <w:pStyle w:val="Textodenotaderodap"/>
        <w:jc w:val="both"/>
        <w:rPr>
          <w:sz w:val="18"/>
          <w:szCs w:val="18"/>
        </w:rPr>
      </w:pPr>
      <w:r w:rsidRPr="004F26A8">
        <w:rPr>
          <w:rStyle w:val="Refdenotaderodap"/>
        </w:rPr>
        <w:footnoteRef/>
      </w:r>
      <w:r w:rsidRPr="004F26A8">
        <w:t xml:space="preserve"> </w:t>
      </w:r>
      <w:r w:rsidRPr="004F26A8">
        <w:rPr>
          <w:rFonts w:ascii="Calibri" w:hAnsi="Calibri"/>
          <w:sz w:val="18"/>
          <w:szCs w:val="18"/>
        </w:rPr>
        <w:t>Cabo Verde é um país de rendimento médio-baixo, que se graduou da lista de Países Menos Avançados em 2008</w:t>
      </w:r>
    </w:p>
  </w:footnote>
  <w:footnote w:id="53">
    <w:p w:rsidR="008A7270" w:rsidRPr="004F26A8" w:rsidRDefault="008A7270" w:rsidP="004F127D">
      <w:pPr>
        <w:pStyle w:val="Textodenotaderodap"/>
        <w:rPr>
          <w:rFonts w:ascii="Calibri" w:hAnsi="Calibri"/>
          <w:sz w:val="18"/>
          <w:szCs w:val="18"/>
        </w:rPr>
      </w:pPr>
      <w:r w:rsidRPr="004F26A8">
        <w:rPr>
          <w:rStyle w:val="Refdenotaderodap"/>
        </w:rPr>
        <w:footnoteRef/>
      </w:r>
      <w:r w:rsidRPr="004F26A8">
        <w:t xml:space="preserve"> </w:t>
      </w:r>
      <w:r w:rsidRPr="004F26A8">
        <w:rPr>
          <w:rFonts w:ascii="Calibri" w:hAnsi="Calibri"/>
          <w:sz w:val="18"/>
          <w:szCs w:val="18"/>
        </w:rPr>
        <w:t xml:space="preserve">Relatório de Cabo Verde Beijing+20 sobre a implementação da Declaração e Plataforma de Ação de Beijing (2014)  </w:t>
      </w:r>
    </w:p>
  </w:footnote>
  <w:footnote w:id="54">
    <w:p w:rsidR="008A7270" w:rsidRPr="004F26A8" w:rsidRDefault="008A7270" w:rsidP="004F127D">
      <w:pPr>
        <w:pStyle w:val="Textodenotaderodap"/>
        <w:jc w:val="both"/>
        <w:rPr>
          <w:rFonts w:ascii="Calibri" w:hAnsi="Calibri"/>
          <w:sz w:val="18"/>
          <w:szCs w:val="18"/>
        </w:rPr>
      </w:pPr>
      <w:r w:rsidRPr="004F26A8">
        <w:rPr>
          <w:rStyle w:val="Refdenotaderodap"/>
        </w:rPr>
        <w:footnoteRef/>
      </w:r>
      <w:r w:rsidRPr="004F26A8">
        <w:rPr>
          <w:lang w:val="pt-BR"/>
        </w:rPr>
        <w:t xml:space="preserve"> </w:t>
      </w:r>
      <w:r w:rsidRPr="004F26A8">
        <w:rPr>
          <w:rFonts w:ascii="Calibri" w:hAnsi="Calibri"/>
          <w:sz w:val="18"/>
          <w:szCs w:val="18"/>
        </w:rPr>
        <w:t>Cooperação Sul-Sul e tripartida, cooperação decentralizada, parcerias público-privadas, etc.</w:t>
      </w:r>
    </w:p>
  </w:footnote>
  <w:footnote w:id="55">
    <w:p w:rsidR="008A7270" w:rsidRPr="00C77BE6" w:rsidRDefault="008A7270" w:rsidP="004F127D">
      <w:pPr>
        <w:pStyle w:val="Textodenotaderodap"/>
        <w:spacing w:after="60"/>
        <w:jc w:val="both"/>
        <w:rPr>
          <w:sz w:val="18"/>
          <w:szCs w:val="18"/>
        </w:rPr>
      </w:pPr>
      <w:r w:rsidRPr="00C77BE6">
        <w:rPr>
          <w:rStyle w:val="Refdenotaderodap"/>
          <w:sz w:val="18"/>
          <w:szCs w:val="18"/>
        </w:rPr>
        <w:footnoteRef/>
      </w:r>
      <w:r w:rsidRPr="00C77BE6">
        <w:rPr>
          <w:sz w:val="18"/>
          <w:szCs w:val="18"/>
          <w:lang w:val="pt-BR"/>
        </w:rPr>
        <w:t xml:space="preserve"> </w:t>
      </w:r>
      <w:r w:rsidRPr="00C77BE6">
        <w:rPr>
          <w:rFonts w:ascii="Calibri" w:hAnsi="Calibri"/>
          <w:sz w:val="18"/>
          <w:szCs w:val="18"/>
        </w:rPr>
        <w:t>O Programa Nacional de Investimento na Agricultura (PNIA, 2011-2015)por exemplo conta com um eixo de intervenção de reforço institucional, que compreende a integração da abordagem de género; o Plano Estratégico de Desenvolvimento Agrícola (PEDA, 2004-2015) apresenta uma análise de género a nível do diagnóstico e contempla a dimensão de género, para favorecer a participação efectiva de todas as camadas da população.</w:t>
      </w:r>
    </w:p>
  </w:footnote>
  <w:footnote w:id="56">
    <w:p w:rsidR="008A7270" w:rsidRPr="00C77BE6" w:rsidRDefault="008A7270" w:rsidP="004F127D">
      <w:pPr>
        <w:pStyle w:val="Textodenotaderodap"/>
        <w:spacing w:after="60"/>
        <w:jc w:val="both"/>
        <w:rPr>
          <w:sz w:val="18"/>
          <w:szCs w:val="18"/>
        </w:rPr>
      </w:pPr>
      <w:r w:rsidRPr="00C77BE6">
        <w:rPr>
          <w:rStyle w:val="Refdenotaderodap"/>
          <w:sz w:val="18"/>
          <w:szCs w:val="18"/>
        </w:rPr>
        <w:footnoteRef/>
      </w:r>
      <w:r w:rsidRPr="00C77BE6">
        <w:rPr>
          <w:sz w:val="18"/>
          <w:szCs w:val="18"/>
          <w:lang w:val="pt-BR"/>
        </w:rPr>
        <w:t xml:space="preserve"> </w:t>
      </w:r>
      <w:r w:rsidRPr="00C77BE6">
        <w:rPr>
          <w:rFonts w:ascii="Calibri" w:hAnsi="Calibri"/>
          <w:color w:val="0070C0"/>
          <w:sz w:val="18"/>
          <w:szCs w:val="18"/>
          <w:lang w:val="pt-BR"/>
        </w:rPr>
        <w:t xml:space="preserve"> </w:t>
      </w:r>
      <w:r w:rsidRPr="00C77BE6">
        <w:rPr>
          <w:rFonts w:ascii="Calibri" w:hAnsi="Calibri"/>
          <w:sz w:val="18"/>
          <w:szCs w:val="18"/>
        </w:rPr>
        <w:t>Os termos de referência dos estudos preparatórios para a exploração das novas barragens, prevêem uma análise social e de género; os dados sobre as acções em curso (formação, informação, contratação de mão-de-obra para obras, microcrédito para actividades geradoras de rendimento) são recolhidos e analisados desagregados por sexo, o que tem permitido integrar medidas correctivas para uma maior participação das mulheres, e seu acesso às iniciativas e recurso dos projectos.</w:t>
      </w:r>
    </w:p>
  </w:footnote>
  <w:footnote w:id="57">
    <w:p w:rsidR="008A7270" w:rsidRPr="00BB2766" w:rsidRDefault="008A7270" w:rsidP="004F127D">
      <w:pPr>
        <w:pStyle w:val="sdfootnote-western"/>
        <w:spacing w:before="0" w:after="0" w:line="240" w:lineRule="auto"/>
        <w:jc w:val="both"/>
        <w:rPr>
          <w:sz w:val="18"/>
          <w:szCs w:val="18"/>
        </w:rPr>
      </w:pPr>
      <w:r>
        <w:rPr>
          <w:rStyle w:val="Refdenotaderodap"/>
        </w:rPr>
        <w:footnoteRef/>
      </w:r>
      <w:r>
        <w:t xml:space="preserve"> </w:t>
      </w:r>
      <w:r>
        <w:rPr>
          <w:rFonts w:asciiTheme="minorHAnsi" w:hAnsiTheme="minorHAnsi"/>
          <w:sz w:val="18"/>
          <w:szCs w:val="18"/>
        </w:rPr>
        <w:t xml:space="preserve">Análise elaborada com base no </w:t>
      </w:r>
      <w:r w:rsidRPr="00BB2766">
        <w:rPr>
          <w:rFonts w:asciiTheme="minorHAnsi" w:hAnsiTheme="minorHAnsi"/>
          <w:sz w:val="18"/>
          <w:szCs w:val="18"/>
        </w:rPr>
        <w:t>Relatório da Avaliação do P</w:t>
      </w:r>
      <w:r w:rsidRPr="004F26A8">
        <w:rPr>
          <w:rFonts w:asciiTheme="minorHAnsi" w:hAnsiTheme="minorHAnsi"/>
          <w:sz w:val="18"/>
          <w:szCs w:val="18"/>
        </w:rPr>
        <w:t>NIEG (2011),</w:t>
      </w:r>
      <w:r>
        <w:rPr>
          <w:rFonts w:asciiTheme="minorHAnsi" w:hAnsiTheme="minorHAnsi"/>
          <w:sz w:val="18"/>
          <w:szCs w:val="18"/>
        </w:rPr>
        <w:t xml:space="preserve"> Relatório Beijing+20 (2014) e um exercício de auto-reflexão com os sectores (com base num q</w:t>
      </w:r>
      <w:r w:rsidRPr="00BB2766">
        <w:rPr>
          <w:rFonts w:asciiTheme="minorHAnsi" w:hAnsiTheme="minorHAnsi"/>
          <w:sz w:val="18"/>
          <w:szCs w:val="18"/>
        </w:rPr>
        <w:t>uestionário</w:t>
      </w:r>
      <w:r>
        <w:rPr>
          <w:rFonts w:asciiTheme="minorHAnsi" w:hAnsiTheme="minorHAnsi"/>
          <w:sz w:val="18"/>
          <w:szCs w:val="18"/>
        </w:rPr>
        <w:t xml:space="preserve"> - “</w:t>
      </w:r>
      <w:r w:rsidRPr="00F81947">
        <w:rPr>
          <w:rFonts w:asciiTheme="minorHAnsi" w:hAnsiTheme="minorHAnsi"/>
          <w:i/>
          <w:sz w:val="18"/>
          <w:szCs w:val="18"/>
        </w:rPr>
        <w:t>Ponto de situação integração da abordagem de género na acção dos sectores</w:t>
      </w:r>
      <w:r>
        <w:rPr>
          <w:rFonts w:asciiTheme="minorHAnsi" w:hAnsiTheme="minorHAnsi"/>
          <w:sz w:val="18"/>
          <w:szCs w:val="18"/>
        </w:rPr>
        <w:t xml:space="preserve">”, e sessão de trabalho do Comité Técnico Alargado), com base em 10 eixos: visão e </w:t>
      </w:r>
      <w:r w:rsidRPr="00D51666">
        <w:rPr>
          <w:rFonts w:asciiTheme="minorHAnsi" w:hAnsiTheme="minorHAnsi"/>
          <w:sz w:val="18"/>
          <w:szCs w:val="18"/>
        </w:rPr>
        <w:t>planificação estratégica</w:t>
      </w:r>
      <w:r>
        <w:rPr>
          <w:rFonts w:asciiTheme="minorHAnsi" w:hAnsiTheme="minorHAnsi"/>
          <w:sz w:val="18"/>
          <w:szCs w:val="18"/>
        </w:rPr>
        <w:t>, planificação</w:t>
      </w:r>
      <w:r w:rsidRPr="00D51666">
        <w:rPr>
          <w:rFonts w:asciiTheme="minorHAnsi" w:hAnsiTheme="minorHAnsi"/>
          <w:sz w:val="18"/>
          <w:szCs w:val="18"/>
        </w:rPr>
        <w:t xml:space="preserve"> operacional, orçamento, </w:t>
      </w:r>
      <w:r>
        <w:rPr>
          <w:rFonts w:asciiTheme="minorHAnsi" w:hAnsiTheme="minorHAnsi"/>
          <w:sz w:val="18"/>
          <w:szCs w:val="18"/>
        </w:rPr>
        <w:t>seguimento</w:t>
      </w:r>
      <w:r w:rsidRPr="00D51666">
        <w:rPr>
          <w:rFonts w:asciiTheme="minorHAnsi" w:hAnsiTheme="minorHAnsi"/>
          <w:sz w:val="18"/>
          <w:szCs w:val="18"/>
        </w:rPr>
        <w:t xml:space="preserve"> e avaliação, recursos humanos e </w:t>
      </w:r>
      <w:r>
        <w:rPr>
          <w:rFonts w:asciiTheme="minorHAnsi" w:hAnsiTheme="minorHAnsi"/>
          <w:sz w:val="18"/>
          <w:szCs w:val="18"/>
        </w:rPr>
        <w:t>reforço das capacidades</w:t>
      </w:r>
      <w:r w:rsidRPr="00D51666">
        <w:rPr>
          <w:rFonts w:asciiTheme="minorHAnsi" w:hAnsiTheme="minorHAnsi"/>
          <w:sz w:val="18"/>
          <w:szCs w:val="18"/>
        </w:rPr>
        <w:t xml:space="preserve">, ponto focal, articulação, diagnósticos e estatísticas, </w:t>
      </w:r>
      <w:r>
        <w:rPr>
          <w:rFonts w:asciiTheme="minorHAnsi" w:hAnsiTheme="minorHAnsi"/>
          <w:sz w:val="18"/>
          <w:szCs w:val="18"/>
        </w:rPr>
        <w:t xml:space="preserve">e </w:t>
      </w:r>
      <w:r w:rsidRPr="00D51666">
        <w:rPr>
          <w:rFonts w:asciiTheme="minorHAnsi" w:hAnsiTheme="minorHAnsi"/>
          <w:sz w:val="18"/>
          <w:szCs w:val="18"/>
        </w:rPr>
        <w:t>informação</w:t>
      </w:r>
      <w:r>
        <w:rPr>
          <w:rFonts w:asciiTheme="minorHAnsi" w:hAnsiTheme="minorHAnsi"/>
          <w:sz w:val="18"/>
          <w:szCs w:val="18"/>
        </w:rPr>
        <w:t>/comunicação.</w:t>
      </w:r>
    </w:p>
  </w:footnote>
  <w:footnote w:id="58">
    <w:p w:rsidR="008A7270" w:rsidRPr="003C49C0" w:rsidRDefault="008A7270" w:rsidP="00724379">
      <w:pPr>
        <w:pStyle w:val="Textodenotaderodap"/>
        <w:jc w:val="both"/>
        <w:rPr>
          <w:i/>
          <w:lang w:val="pt-BR"/>
        </w:rPr>
      </w:pPr>
      <w:r>
        <w:rPr>
          <w:rStyle w:val="Refdenotaderodap"/>
        </w:rPr>
        <w:footnoteRef/>
      </w:r>
      <w:r w:rsidRPr="00724379">
        <w:rPr>
          <w:lang w:val="pt-BR"/>
        </w:rPr>
        <w:t xml:space="preserve"> </w:t>
      </w:r>
      <w:r w:rsidRPr="003C49C0">
        <w:rPr>
          <w:lang w:val="pt-BR"/>
        </w:rPr>
        <w:t>Objectivo Geral do</w:t>
      </w:r>
      <w:r w:rsidRPr="003C49C0">
        <w:rPr>
          <w:i/>
          <w:sz w:val="18"/>
          <w:szCs w:val="18"/>
          <w:lang w:val="pt-BR"/>
        </w:rPr>
        <w:t xml:space="preserve"> </w:t>
      </w:r>
      <w:r w:rsidRPr="008E53B1">
        <w:rPr>
          <w:i/>
          <w:sz w:val="18"/>
          <w:szCs w:val="18"/>
          <w:lang w:val="pt-BR"/>
        </w:rPr>
        <w:t>IIº Plano Nacional de Combate à Violência Baseada no Género aprovado para o período 2014- 2016</w:t>
      </w:r>
    </w:p>
  </w:footnote>
  <w:footnote w:id="59">
    <w:p w:rsidR="008A7270" w:rsidRPr="00E86086" w:rsidRDefault="008A7270" w:rsidP="00D075EF">
      <w:pPr>
        <w:pStyle w:val="Textodenotaderodap"/>
        <w:rPr>
          <w:lang w:val="pt-BR"/>
        </w:rPr>
      </w:pPr>
      <w:r w:rsidRPr="00AF74A3">
        <w:rPr>
          <w:rStyle w:val="Refdenotaderodap"/>
        </w:rPr>
        <w:footnoteRef/>
      </w:r>
      <w:r w:rsidRPr="00AF74A3">
        <w:rPr>
          <w:lang w:val="pt-BR"/>
        </w:rPr>
        <w:t xml:space="preserve"> Media a traves dos dados do relatório estatístico de educação sobre o número de crianças de 0 aos 2 ano</w:t>
      </w:r>
      <w:r>
        <w:rPr>
          <w:lang w:val="pt-BR"/>
        </w:rPr>
        <w:t>s inscritas nas instituições pré</w:t>
      </w:r>
      <w:r w:rsidRPr="00AF74A3">
        <w:rPr>
          <w:lang w:val="pt-BR"/>
        </w:rPr>
        <w:t>-escolares</w:t>
      </w:r>
      <w:r w:rsidRPr="00E86086">
        <w:rPr>
          <w:lang w:val="pt-BR"/>
        </w:rPr>
        <w:t xml:space="preserve">  </w:t>
      </w:r>
    </w:p>
  </w:footnote>
  <w:footnote w:id="60">
    <w:p w:rsidR="008A7270" w:rsidRPr="007174EA" w:rsidRDefault="008A7270">
      <w:pPr>
        <w:pStyle w:val="Textodenotaderodap"/>
        <w:rPr>
          <w:lang w:val="pt-BR"/>
        </w:rPr>
      </w:pPr>
      <w:r>
        <w:rPr>
          <w:rStyle w:val="Refdenotaderodap"/>
        </w:rPr>
        <w:footnoteRef/>
      </w:r>
      <w:r w:rsidRPr="007174EA">
        <w:rPr>
          <w:lang w:val="pt-BR"/>
        </w:rPr>
        <w:t xml:space="preserve"> </w:t>
      </w:r>
      <w:r w:rsidRPr="00C375A1">
        <w:rPr>
          <w:rFonts w:ascii="Calibri" w:eastAsia="Times New Roman" w:hAnsi="Calibri" w:cs="Times New Roman"/>
          <w:color w:val="000000"/>
          <w:sz w:val="18"/>
          <w:szCs w:val="18"/>
          <w:lang w:val="pt-BR" w:eastAsia="es-ES"/>
        </w:rPr>
        <w:t>Taxa de mortalidade por DCV, Taxa de mortalidade por causas externas, Percentagem de indivíduos de 25-64 anos com sobrepeso, Percentagem de indivíduos de 25-64 com obesidade) dum total de 39 indicadores dos Subprogramas que são desagregáveis)</w:t>
      </w:r>
    </w:p>
  </w:footnote>
  <w:footnote w:id="61">
    <w:p w:rsidR="008A7270" w:rsidRPr="007174EA" w:rsidRDefault="008A7270">
      <w:pPr>
        <w:pStyle w:val="Textodenotaderodap"/>
        <w:rPr>
          <w:lang w:val="pt-BR"/>
        </w:rPr>
      </w:pPr>
      <w:r>
        <w:rPr>
          <w:rStyle w:val="Refdenotaderodap"/>
        </w:rPr>
        <w:footnoteRef/>
      </w:r>
      <w:r w:rsidRPr="007174EA">
        <w:rPr>
          <w:lang w:val="pt-BR"/>
        </w:rPr>
        <w:t xml:space="preserve"> </w:t>
      </w:r>
      <w:r w:rsidRPr="00C375A1">
        <w:rPr>
          <w:rFonts w:ascii="Calibri" w:eastAsia="Times New Roman" w:hAnsi="Calibri" w:cs="Times New Roman"/>
          <w:sz w:val="18"/>
          <w:szCs w:val="18"/>
          <w:u w:val="single"/>
          <w:lang w:val="pt-BR" w:eastAsia="es-ES"/>
        </w:rPr>
        <w:t>MpD</w:t>
      </w:r>
      <w:r>
        <w:rPr>
          <w:rFonts w:ascii="Calibri" w:eastAsia="Times New Roman" w:hAnsi="Calibri" w:cs="Times New Roman"/>
          <w:sz w:val="18"/>
          <w:szCs w:val="18"/>
          <w:u w:val="single"/>
          <w:lang w:val="pt-BR" w:eastAsia="es-ES"/>
        </w:rPr>
        <w:t xml:space="preserve">: </w:t>
      </w:r>
      <w:r>
        <w:rPr>
          <w:rFonts w:ascii="Calibri" w:eastAsia="Times New Roman" w:hAnsi="Calibri" w:cs="Times New Roman"/>
          <w:sz w:val="18"/>
          <w:szCs w:val="18"/>
          <w:lang w:val="pt-BR" w:eastAsia="es-ES"/>
        </w:rPr>
        <w:t xml:space="preserve">Vice-presidente 1/4 (25%) ; </w:t>
      </w:r>
      <w:r w:rsidRPr="00C375A1">
        <w:rPr>
          <w:rFonts w:ascii="Calibri" w:eastAsia="Times New Roman" w:hAnsi="Calibri" w:cs="Times New Roman"/>
          <w:sz w:val="18"/>
          <w:szCs w:val="18"/>
          <w:lang w:val="pt-BR" w:eastAsia="es-ES"/>
        </w:rPr>
        <w:t>Direção Nacional 8/45 (17,8%)</w:t>
      </w:r>
      <w:r>
        <w:rPr>
          <w:rFonts w:ascii="Calibri" w:eastAsia="Times New Roman" w:hAnsi="Calibri" w:cs="Times New Roman"/>
          <w:sz w:val="18"/>
          <w:szCs w:val="18"/>
          <w:lang w:val="pt-BR" w:eastAsia="es-ES"/>
        </w:rPr>
        <w:t xml:space="preserve">; </w:t>
      </w:r>
      <w:r w:rsidRPr="00C375A1">
        <w:rPr>
          <w:rFonts w:ascii="Calibri" w:eastAsia="Times New Roman" w:hAnsi="Calibri" w:cs="Times New Roman"/>
          <w:sz w:val="18"/>
          <w:szCs w:val="18"/>
          <w:lang w:val="pt-BR" w:eastAsia="es-ES"/>
        </w:rPr>
        <w:t>Comissão Política Nacional 4/15 (26,7%)</w:t>
      </w:r>
      <w:r w:rsidRPr="00C375A1">
        <w:rPr>
          <w:rFonts w:ascii="Calibri" w:eastAsia="Times New Roman" w:hAnsi="Calibri" w:cs="Times New Roman"/>
          <w:sz w:val="18"/>
          <w:szCs w:val="18"/>
          <w:lang w:val="pt-BR" w:eastAsia="es-ES"/>
        </w:rPr>
        <w:br/>
      </w:r>
      <w:r w:rsidRPr="00C375A1">
        <w:rPr>
          <w:rFonts w:ascii="Calibri" w:eastAsia="Times New Roman" w:hAnsi="Calibri" w:cs="Times New Roman"/>
          <w:sz w:val="18"/>
          <w:szCs w:val="18"/>
          <w:u w:val="single"/>
          <w:lang w:val="pt-BR" w:eastAsia="es-ES"/>
        </w:rPr>
        <w:t>PAICV</w:t>
      </w:r>
      <w:r>
        <w:rPr>
          <w:rFonts w:ascii="Calibri" w:eastAsia="Times New Roman" w:hAnsi="Calibri" w:cs="Times New Roman"/>
          <w:sz w:val="18"/>
          <w:szCs w:val="18"/>
          <w:u w:val="single"/>
          <w:lang w:val="pt-BR" w:eastAsia="es-ES"/>
        </w:rPr>
        <w:t xml:space="preserve">: </w:t>
      </w:r>
      <w:r>
        <w:rPr>
          <w:rFonts w:ascii="Calibri" w:eastAsia="Times New Roman" w:hAnsi="Calibri" w:cs="Times New Roman"/>
          <w:sz w:val="18"/>
          <w:szCs w:val="18"/>
          <w:lang w:val="pt-BR" w:eastAsia="es-ES"/>
        </w:rPr>
        <w:t xml:space="preserve">Vice-presidente 1/3 (33,3%) ; </w:t>
      </w:r>
      <w:r w:rsidRPr="00C375A1">
        <w:rPr>
          <w:rFonts w:ascii="Calibri" w:eastAsia="Times New Roman" w:hAnsi="Calibri" w:cs="Times New Roman"/>
          <w:sz w:val="18"/>
          <w:szCs w:val="18"/>
          <w:lang w:val="pt-BR" w:eastAsia="es-ES"/>
        </w:rPr>
        <w:t>Conselho Nacional 16/46 (34,</w:t>
      </w:r>
      <w:r>
        <w:rPr>
          <w:rFonts w:ascii="Calibri" w:eastAsia="Times New Roman" w:hAnsi="Calibri" w:cs="Times New Roman"/>
          <w:sz w:val="18"/>
          <w:szCs w:val="18"/>
          <w:lang w:val="pt-BR" w:eastAsia="es-ES"/>
        </w:rPr>
        <w:t xml:space="preserve">8%); </w:t>
      </w:r>
      <w:r w:rsidRPr="00C375A1">
        <w:rPr>
          <w:rFonts w:ascii="Calibri" w:eastAsia="Times New Roman" w:hAnsi="Calibri" w:cs="Times New Roman"/>
          <w:sz w:val="18"/>
          <w:szCs w:val="18"/>
          <w:lang w:val="pt-BR" w:eastAsia="es-ES"/>
        </w:rPr>
        <w:t>Comissão Política Nacional 7/21 (31,8%)</w:t>
      </w:r>
    </w:p>
  </w:footnote>
  <w:footnote w:id="62">
    <w:p w:rsidR="008A7270" w:rsidRPr="00221833" w:rsidRDefault="008A7270" w:rsidP="008E6638">
      <w:pPr>
        <w:pStyle w:val="Textodenotaderodap"/>
        <w:jc w:val="both"/>
        <w:rPr>
          <w:lang w:val="pt-BR"/>
        </w:rPr>
      </w:pPr>
      <w:r>
        <w:rPr>
          <w:rStyle w:val="Refdenotaderodap"/>
        </w:rPr>
        <w:footnoteRef/>
      </w:r>
      <w:r>
        <w:rPr>
          <w:lang w:val="pt-BR"/>
        </w:rPr>
        <w:t xml:space="preserve"> O programa </w:t>
      </w:r>
      <w:r w:rsidRPr="00221833">
        <w:rPr>
          <w:lang w:val="pt-BR"/>
        </w:rPr>
        <w:t xml:space="preserve">"Reforço de Igualdade de Género", </w:t>
      </w:r>
      <w:r>
        <w:rPr>
          <w:lang w:val="pt-BR"/>
        </w:rPr>
        <w:t>único programa de investimento do ICIEG, tem um orçamento anual previsto no quadro das despesas a meio prazo de 4</w:t>
      </w:r>
      <w:r w:rsidRPr="00221833">
        <w:rPr>
          <w:lang w:val="pt-BR"/>
        </w:rPr>
        <w:t>.500</w:t>
      </w:r>
      <w:r>
        <w:rPr>
          <w:lang w:val="pt-BR"/>
        </w:rPr>
        <w:t xml:space="preserve"> contos por ano. A estimação orçamentária para as medidas de responsabilidade do ICIEG junto como a coordenação, seguimento e avaliação do plano esta prevista em cerca de 90.000 contos, pelo que o programa deveria ser reforçado com 18</w:t>
      </w:r>
      <w:r w:rsidRPr="00221833">
        <w:rPr>
          <w:lang w:val="pt-BR"/>
        </w:rPr>
        <w:t>.000</w:t>
      </w:r>
      <w:r>
        <w:rPr>
          <w:lang w:val="pt-BR"/>
        </w:rPr>
        <w:t xml:space="preserve"> contos anuais </w:t>
      </w:r>
      <w:r w:rsidRPr="00221833">
        <w:rPr>
          <w:lang w:val="pt-BR"/>
        </w:rPr>
        <w:t>al</w:t>
      </w:r>
      <w:r>
        <w:rPr>
          <w:lang w:val="pt-BR"/>
        </w:rPr>
        <w:t>é</w:t>
      </w:r>
      <w:r w:rsidRPr="00221833">
        <w:rPr>
          <w:lang w:val="pt-BR"/>
        </w:rPr>
        <w:t xml:space="preserve">m dos recursos </w:t>
      </w:r>
      <w:r>
        <w:rPr>
          <w:lang w:val="pt-BR"/>
        </w:rPr>
        <w:t xml:space="preserve">necessários apara a implementação do </w:t>
      </w:r>
      <w:r w:rsidRPr="00221833">
        <w:rPr>
          <w:lang w:val="pt-BR"/>
        </w:rPr>
        <w:t>P</w:t>
      </w:r>
      <w:r>
        <w:rPr>
          <w:lang w:val="pt-BR"/>
        </w:rPr>
        <w:t>NVBG II</w:t>
      </w:r>
      <w:r w:rsidRPr="00221833">
        <w:rPr>
          <w:lang w:val="pt-BR"/>
        </w:rPr>
        <w:t>)</w:t>
      </w:r>
    </w:p>
  </w:footnote>
  <w:footnote w:id="63">
    <w:p w:rsidR="008A7270" w:rsidRPr="00C334E9" w:rsidRDefault="008A7270" w:rsidP="002F0FFA">
      <w:pPr>
        <w:pStyle w:val="Textodenotaderodap"/>
        <w:jc w:val="both"/>
        <w:rPr>
          <w:sz w:val="18"/>
          <w:szCs w:val="18"/>
          <w:lang w:val="pt-BR"/>
        </w:rPr>
      </w:pPr>
      <w:r w:rsidRPr="00C334E9">
        <w:rPr>
          <w:rStyle w:val="Refdenotaderodap"/>
          <w:sz w:val="18"/>
          <w:szCs w:val="18"/>
        </w:rPr>
        <w:footnoteRef/>
      </w:r>
      <w:r w:rsidRPr="00C334E9">
        <w:rPr>
          <w:sz w:val="18"/>
          <w:szCs w:val="18"/>
          <w:lang w:val="pt-BR"/>
        </w:rPr>
        <w:t xml:space="preserve"> </w:t>
      </w:r>
      <w:r>
        <w:rPr>
          <w:sz w:val="18"/>
          <w:szCs w:val="18"/>
          <w:lang w:val="pt-BR"/>
        </w:rPr>
        <w:t xml:space="preserve">Seleccionados do Observatório da Igualdade de Género/SNIG. </w:t>
      </w:r>
      <w:r w:rsidRPr="00C334E9">
        <w:rPr>
          <w:sz w:val="18"/>
          <w:szCs w:val="18"/>
          <w:lang w:val="pt-BR"/>
        </w:rPr>
        <w:t xml:space="preserve">O Observatório da Igualdade de Género, criado conjuntamente pelo ICIEG e INE, compreende um conjunto de 12 indicadores de base para o seguimento e avaliação da situação de género no país, que espelham 3 esferas fundamentais da autonomia das mulheres: a autonomia na tomada de decisões, a autonomia física e a económica. Adicionalmente um conjunto de </w:t>
      </w:r>
      <w:r>
        <w:rPr>
          <w:sz w:val="18"/>
          <w:szCs w:val="18"/>
          <w:lang w:val="pt-BR"/>
        </w:rPr>
        <w:t>cerca de 100</w:t>
      </w:r>
      <w:r w:rsidRPr="00C334E9">
        <w:rPr>
          <w:sz w:val="18"/>
          <w:szCs w:val="18"/>
          <w:lang w:val="pt-BR"/>
        </w:rPr>
        <w:t xml:space="preserve"> indicadores constitui o Sistema Nacional de Indicadores de Género (SNIG), permitindo uma análise mais aprofundada destas 3 esferas. O SNIG tem contem indicadores relevantes a nível nacional, bem como indicadores acordados a nível internacional para o seguimento da igualdade de género. </w:t>
      </w:r>
    </w:p>
  </w:footnote>
  <w:footnote w:id="64">
    <w:p w:rsidR="008A7270" w:rsidRPr="00C334E9" w:rsidRDefault="008A7270" w:rsidP="002F0FFA">
      <w:pPr>
        <w:pStyle w:val="Textodenotaderodap"/>
        <w:rPr>
          <w:sz w:val="18"/>
          <w:szCs w:val="18"/>
          <w:lang w:val="pt-BR"/>
        </w:rPr>
      </w:pPr>
      <w:r w:rsidRPr="00C334E9">
        <w:rPr>
          <w:rStyle w:val="Refdenotaderodap"/>
          <w:sz w:val="18"/>
          <w:szCs w:val="18"/>
        </w:rPr>
        <w:footnoteRef/>
      </w:r>
      <w:r w:rsidRPr="00C334E9">
        <w:rPr>
          <w:sz w:val="18"/>
          <w:szCs w:val="18"/>
          <w:lang w:val="pt-BR"/>
        </w:rPr>
        <w:t xml:space="preserve"> O Índice de Paridade (ou Índice da Condição Feminina) é um rácio calculado com base nas recomendações técnicas divulgadas no </w:t>
      </w:r>
      <w:r w:rsidRPr="00C334E9">
        <w:rPr>
          <w:b/>
          <w:i/>
          <w:sz w:val="18"/>
          <w:szCs w:val="18"/>
          <w:lang w:val="pt-BR"/>
        </w:rPr>
        <w:t>Índice Africano do Género e Desenvolvimento</w:t>
      </w:r>
      <w:r w:rsidRPr="00C334E9">
        <w:rPr>
          <w:sz w:val="18"/>
          <w:szCs w:val="18"/>
          <w:lang w:val="pt-BR"/>
        </w:rPr>
        <w:t xml:space="preserve">, que exprime a relação de proporcionalidade em razão do sexo, e indica o fosso entre a posição dos homens e das mulheres. Calcula-se dividindo o número absoluto ou percentagem do dado relativo às mulheres pelo dos homens. </w:t>
      </w:r>
      <w:r w:rsidRPr="00C334E9">
        <w:rPr>
          <w:color w:val="000000"/>
          <w:sz w:val="18"/>
          <w:szCs w:val="18"/>
          <w:lang w:val="pt-BR"/>
        </w:rPr>
        <w:t>A escala classificativa do Índice de Paridade vai de 0 a 1: 1 significa igualdade; os valores inferiores a 1 apontam para uma situação de desigualdade em desfavor das mulheres, enquanto um índice superior a 1 significa que a desigualdade é em desfavor dos homens (devido a este facto no caso do indicador referenciar uma situação negativa/indesejável, o cálculo inverte-se). Para classificar este rácio, recomenda-se a seguinte escala: Aceitável (entre 1 e 0,91), Médio (entre 0,90 e 0,81), Baixo (entre 0,80 e 0,61), Muito Baixo (entre 0,60 e 0,41) e Crítico (entre 0,40 e 0).</w:t>
      </w:r>
    </w:p>
  </w:footnote>
  <w:footnote w:id="65">
    <w:p w:rsidR="008A7270" w:rsidRPr="00324CD8" w:rsidRDefault="008A7270" w:rsidP="002F0FFA">
      <w:pPr>
        <w:pStyle w:val="Textodenotaderodap"/>
        <w:rPr>
          <w:sz w:val="18"/>
          <w:szCs w:val="18"/>
          <w:lang w:val="pt-BR"/>
        </w:rPr>
      </w:pPr>
      <w:r>
        <w:rPr>
          <w:rStyle w:val="Refdenotaderodap"/>
        </w:rPr>
        <w:footnoteRef/>
      </w:r>
      <w:r w:rsidRPr="00C334E9">
        <w:rPr>
          <w:lang w:val="pt-BR"/>
        </w:rPr>
        <w:t xml:space="preserve"> </w:t>
      </w:r>
      <w:r w:rsidRPr="00324CD8">
        <w:rPr>
          <w:sz w:val="18"/>
          <w:szCs w:val="18"/>
          <w:lang w:val="pt-BR"/>
        </w:rPr>
        <w:t xml:space="preserve">Dado citado no PNVBG (2014-2016), p19 – elaborado com base nos relatórios anuais da Magistratura  </w:t>
      </w:r>
    </w:p>
  </w:footnote>
  <w:footnote w:id="66">
    <w:p w:rsidR="008A7270" w:rsidRPr="00324CD8" w:rsidRDefault="008A7270" w:rsidP="002F0FFA">
      <w:pPr>
        <w:pStyle w:val="Textodenotaderodap"/>
        <w:rPr>
          <w:sz w:val="18"/>
          <w:szCs w:val="18"/>
          <w:lang w:val="pt-BR"/>
        </w:rPr>
      </w:pPr>
      <w:r>
        <w:rPr>
          <w:rStyle w:val="Refdenotaderodap"/>
        </w:rPr>
        <w:footnoteRef/>
      </w:r>
      <w:r w:rsidRPr="00C334E9">
        <w:rPr>
          <w:lang w:val="pt-BR"/>
        </w:rPr>
        <w:t xml:space="preserve"> </w:t>
      </w:r>
      <w:r w:rsidRPr="00324CD8">
        <w:rPr>
          <w:sz w:val="18"/>
          <w:szCs w:val="18"/>
          <w:lang w:val="pt-BR"/>
        </w:rPr>
        <w:t>Dado citado no PNVBG (2014-2016), p20 – elaborado com base nos relatórios anuais da Magistratura</w:t>
      </w:r>
    </w:p>
  </w:footnote>
  <w:footnote w:id="67">
    <w:p w:rsidR="008A7270" w:rsidRPr="00C334E9" w:rsidRDefault="008A7270" w:rsidP="002F0FFA">
      <w:pPr>
        <w:pStyle w:val="Textodenotaderodap"/>
        <w:rPr>
          <w:lang w:val="pt-BR"/>
        </w:rPr>
      </w:pPr>
      <w:r>
        <w:rPr>
          <w:rStyle w:val="Refdenotaderodap"/>
        </w:rPr>
        <w:footnoteRef/>
      </w:r>
      <w:r w:rsidRPr="00C334E9">
        <w:rPr>
          <w:lang w:val="pt-BR"/>
        </w:rPr>
        <w:t xml:space="preserve"> </w:t>
      </w:r>
      <w:r w:rsidRPr="00324CD8">
        <w:rPr>
          <w:sz w:val="18"/>
          <w:szCs w:val="18"/>
          <w:lang w:val="pt-BR"/>
        </w:rPr>
        <w:t>Dado citado no PNVBG (2014-2016), p20 – elaborado com base nos relatórios anuais da Magistratura</w:t>
      </w:r>
    </w:p>
  </w:footnote>
  <w:footnote w:id="68">
    <w:p w:rsidR="008A7270" w:rsidRPr="00324CD8" w:rsidRDefault="008A7270" w:rsidP="002F0FFA">
      <w:pPr>
        <w:pStyle w:val="Textodenotaderodap"/>
        <w:rPr>
          <w:sz w:val="18"/>
          <w:szCs w:val="18"/>
          <w:lang w:val="pt-BR"/>
        </w:rPr>
      </w:pPr>
      <w:r>
        <w:rPr>
          <w:rStyle w:val="Refdenotaderodap"/>
        </w:rPr>
        <w:footnoteRef/>
      </w:r>
      <w:r w:rsidRPr="00C334E9">
        <w:rPr>
          <w:lang w:val="pt-BR"/>
        </w:rPr>
        <w:t xml:space="preserve"> </w:t>
      </w:r>
      <w:r w:rsidRPr="00324CD8">
        <w:rPr>
          <w:sz w:val="18"/>
          <w:szCs w:val="18"/>
          <w:lang w:val="pt-BR"/>
        </w:rPr>
        <w:t>Dado citado no PNVBG (2014-2016), p20 – elaborado com base nos relatórios anuais da Magistratura</w:t>
      </w:r>
    </w:p>
  </w:footnote>
  <w:footnote w:id="69">
    <w:p w:rsidR="008A7270" w:rsidRPr="00325ECC" w:rsidRDefault="008A7270" w:rsidP="002F0FFA">
      <w:pPr>
        <w:pStyle w:val="Textodenotaderodap"/>
        <w:rPr>
          <w:lang w:val="pt-BR"/>
        </w:rPr>
      </w:pPr>
      <w:r w:rsidRPr="00B654AF">
        <w:rPr>
          <w:rStyle w:val="Refdenotaderodap"/>
        </w:rPr>
        <w:footnoteRef/>
      </w:r>
      <w:r w:rsidRPr="00B654AF">
        <w:rPr>
          <w:lang w:val="pt-BR"/>
        </w:rPr>
        <w:t xml:space="preserve"> Media a traves dos </w:t>
      </w:r>
      <w:r w:rsidRPr="00325ECC">
        <w:rPr>
          <w:lang w:val="pt-BR"/>
        </w:rPr>
        <w:t>dados do relatório estatístico de educação sobre o número de crianças de 0 aos 2 ano</w:t>
      </w:r>
      <w:r>
        <w:rPr>
          <w:lang w:val="pt-BR"/>
        </w:rPr>
        <w:t>s inscritas nas instituições pré</w:t>
      </w:r>
      <w:r w:rsidRPr="00325ECC">
        <w:rPr>
          <w:lang w:val="pt-BR"/>
        </w:rPr>
        <w:t>-escolares</w:t>
      </w:r>
    </w:p>
  </w:footnote>
  <w:footnote w:id="70">
    <w:p w:rsidR="008A7270" w:rsidRPr="00C334E9" w:rsidRDefault="008A7270" w:rsidP="002F0FFA">
      <w:pPr>
        <w:pStyle w:val="Textodenotaderodap"/>
        <w:rPr>
          <w:sz w:val="18"/>
          <w:szCs w:val="18"/>
          <w:lang w:val="pt-BR"/>
        </w:rPr>
      </w:pPr>
      <w:r>
        <w:rPr>
          <w:rStyle w:val="Refdenotaderodap"/>
        </w:rPr>
        <w:footnoteRef/>
      </w:r>
      <w:r w:rsidRPr="00C334E9">
        <w:rPr>
          <w:lang w:val="pt-BR"/>
        </w:rPr>
        <w:t xml:space="preserve"> </w:t>
      </w:r>
      <w:r w:rsidRPr="00C334E9">
        <w:rPr>
          <w:sz w:val="18"/>
          <w:szCs w:val="18"/>
          <w:lang w:val="pt-BR"/>
        </w:rPr>
        <w:t>Foram considerados os/as Vice-Presidentes, membros da Comissão Política Nacional e do Conselho/Direção Nacional</w:t>
      </w:r>
    </w:p>
  </w:footnote>
  <w:footnote w:id="71">
    <w:p w:rsidR="008A7270" w:rsidRPr="00C334E9" w:rsidRDefault="008A7270" w:rsidP="002F0FFA">
      <w:pPr>
        <w:pStyle w:val="Textodenotaderodap"/>
        <w:rPr>
          <w:sz w:val="18"/>
          <w:szCs w:val="18"/>
          <w:lang w:val="pt-BR"/>
        </w:rPr>
      </w:pPr>
      <w:r>
        <w:rPr>
          <w:rStyle w:val="Refdenotaderodap"/>
        </w:rPr>
        <w:footnoteRef/>
      </w:r>
      <w:r w:rsidRPr="00C334E9">
        <w:rPr>
          <w:lang w:val="pt-BR"/>
        </w:rPr>
        <w:t xml:space="preserve"> </w:t>
      </w:r>
      <w:r w:rsidRPr="00C334E9">
        <w:rPr>
          <w:sz w:val="18"/>
          <w:szCs w:val="18"/>
          <w:lang w:val="pt-BR"/>
        </w:rPr>
        <w:t>Proporção sem resposta: 5,8%</w:t>
      </w:r>
    </w:p>
  </w:footnote>
  <w:footnote w:id="72">
    <w:p w:rsidR="008A7270" w:rsidRPr="00C334E9" w:rsidRDefault="008A7270" w:rsidP="002F0FFA">
      <w:pPr>
        <w:pStyle w:val="Textodenotaderodap"/>
        <w:rPr>
          <w:lang w:val="pt-BR"/>
        </w:rPr>
      </w:pPr>
      <w:r>
        <w:rPr>
          <w:rStyle w:val="Refdenotaderodap"/>
        </w:rPr>
        <w:footnoteRef/>
      </w:r>
      <w:r w:rsidRPr="00C334E9">
        <w:rPr>
          <w:lang w:val="pt-BR"/>
        </w:rPr>
        <w:t xml:space="preserve"> </w:t>
      </w:r>
      <w:r w:rsidRPr="00C334E9">
        <w:rPr>
          <w:sz w:val="18"/>
          <w:szCs w:val="18"/>
          <w:lang w:val="pt-BR"/>
        </w:rPr>
        <w:t>Adaptado com base nos indicadores do ADGI - Índice Africano do Género e Desenvolvimento</w:t>
      </w:r>
    </w:p>
  </w:footnote>
  <w:footnote w:id="73">
    <w:p w:rsidR="008A7270" w:rsidRPr="00C334E9" w:rsidRDefault="008A7270" w:rsidP="002F0FFA">
      <w:pPr>
        <w:pStyle w:val="Textodenotaderodap"/>
        <w:rPr>
          <w:sz w:val="18"/>
          <w:szCs w:val="18"/>
          <w:lang w:val="pt-BR"/>
        </w:rPr>
      </w:pPr>
      <w:r>
        <w:rPr>
          <w:rStyle w:val="Refdenotaderodap"/>
        </w:rPr>
        <w:footnoteRef/>
      </w:r>
      <w:r w:rsidRPr="00C334E9">
        <w:rPr>
          <w:lang w:val="pt-BR"/>
        </w:rPr>
        <w:t xml:space="preserve"> </w:t>
      </w:r>
      <w:r w:rsidRPr="00C334E9">
        <w:rPr>
          <w:sz w:val="18"/>
          <w:szCs w:val="18"/>
          <w:lang w:val="pt-BR"/>
        </w:rPr>
        <w:t xml:space="preserve">Código laboral considera 2 dias de faltas justificadas para o pai </w:t>
      </w:r>
    </w:p>
  </w:footnote>
  <w:footnote w:id="74">
    <w:p w:rsidR="008A7270" w:rsidRPr="00C334E9" w:rsidRDefault="008A7270" w:rsidP="002F0FFA">
      <w:pPr>
        <w:pStyle w:val="Textodenotaderodap"/>
        <w:rPr>
          <w:lang w:val="pt-BR"/>
        </w:rPr>
      </w:pPr>
      <w:r>
        <w:rPr>
          <w:rStyle w:val="Refdenotaderodap"/>
        </w:rPr>
        <w:footnoteRef/>
      </w:r>
      <w:r w:rsidRPr="00C334E9">
        <w:rPr>
          <w:lang w:val="pt-BR"/>
        </w:rPr>
        <w:t xml:space="preserve"> </w:t>
      </w:r>
      <w:r w:rsidRPr="00C334E9">
        <w:rPr>
          <w:sz w:val="18"/>
          <w:szCs w:val="18"/>
          <w:lang w:val="pt-BR"/>
        </w:rPr>
        <w:t>INPS prevê possibilidade do pai receber o subsídio pecuniário (da licença de maternidade) para acompanhar o recém-nascido em caso de morte ou incapacidade física ou psíquica da mãe</w:t>
      </w:r>
    </w:p>
  </w:footnote>
  <w:footnote w:id="75">
    <w:p w:rsidR="008A7270" w:rsidRPr="00C334E9" w:rsidRDefault="008A7270" w:rsidP="002F0FFA">
      <w:pPr>
        <w:pStyle w:val="Textodenotaderodap"/>
        <w:rPr>
          <w:sz w:val="18"/>
          <w:szCs w:val="18"/>
          <w:lang w:val="pt-BR"/>
        </w:rPr>
      </w:pPr>
      <w:r>
        <w:rPr>
          <w:rStyle w:val="Refdenotaderodap"/>
        </w:rPr>
        <w:footnoteRef/>
      </w:r>
      <w:r w:rsidRPr="00C334E9">
        <w:rPr>
          <w:lang w:val="pt-BR"/>
        </w:rPr>
        <w:t xml:space="preserve"> </w:t>
      </w:r>
      <w:r w:rsidRPr="00C334E9">
        <w:rPr>
          <w:sz w:val="18"/>
          <w:szCs w:val="18"/>
          <w:lang w:val="pt-BR"/>
        </w:rPr>
        <w:t>O Observatório adoptou os 3 níveis de classificação previstos pela CEPAL: (1) ministério ou entidade cujo titular tem assento ministerial, (2) entidade sob a tutela da Primatura (escritório vinculado à Primatura, secretarias, institutos ou modalidade afim), (3) entidade dependente de um ministério</w:t>
      </w:r>
    </w:p>
  </w:footnote>
  <w:footnote w:id="76">
    <w:p w:rsidR="008A7270" w:rsidRPr="00C334E9" w:rsidRDefault="008A7270" w:rsidP="002F0FFA">
      <w:pPr>
        <w:pStyle w:val="Textodenotaderodap"/>
        <w:rPr>
          <w:sz w:val="18"/>
          <w:szCs w:val="18"/>
          <w:lang w:val="pt-BR"/>
        </w:rPr>
      </w:pPr>
      <w:r>
        <w:rPr>
          <w:rStyle w:val="Refdenotaderodap"/>
        </w:rPr>
        <w:footnoteRef/>
      </w:r>
      <w:r w:rsidRPr="00C334E9">
        <w:rPr>
          <w:lang w:val="pt-BR"/>
        </w:rPr>
        <w:t xml:space="preserve"> </w:t>
      </w:r>
      <w:r w:rsidRPr="00C334E9">
        <w:rPr>
          <w:sz w:val="18"/>
          <w:szCs w:val="18"/>
          <w:lang w:val="pt-BR"/>
        </w:rPr>
        <w:t>Níveis de tomada de decisão: Ministro/a, DGPOG, Direção Nacional ou equivalente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5pt;height:9.05pt" o:bullet="t">
        <v:imagedata r:id="rId1" o:title="BD10254_"/>
      </v:shape>
    </w:pict>
  </w:numPicBullet>
  <w:abstractNum w:abstractNumId="0" w15:restartNumberingAfterBreak="0">
    <w:nsid w:val="05B35027"/>
    <w:multiLevelType w:val="hybridMultilevel"/>
    <w:tmpl w:val="40460F3E"/>
    <w:lvl w:ilvl="0" w:tplc="F1CE0190">
      <w:start w:val="1"/>
      <w:numFmt w:val="bullet"/>
      <w:lvlText w:val=""/>
      <w:lvlJc w:val="left"/>
      <w:pPr>
        <w:ind w:left="360" w:hanging="360"/>
      </w:pPr>
      <w:rPr>
        <w:rFonts w:ascii="Symbol" w:hAnsi="Symbol" w:hint="default"/>
        <w:color w:val="auto"/>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8432FCE"/>
    <w:multiLevelType w:val="hybridMultilevel"/>
    <w:tmpl w:val="3E603540"/>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0B486C98"/>
    <w:multiLevelType w:val="hybridMultilevel"/>
    <w:tmpl w:val="A9325910"/>
    <w:lvl w:ilvl="0" w:tplc="FFFFFFFF">
      <w:start w:val="1"/>
      <w:numFmt w:val="bullet"/>
      <w:lvlText w:val="­"/>
      <w:lvlJc w:val="left"/>
      <w:pPr>
        <w:ind w:left="360" w:hanging="360"/>
      </w:pPr>
      <w:rPr>
        <w:rFonts w:ascii="Courier New" w:hAnsi="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2C260BA"/>
    <w:multiLevelType w:val="hybridMultilevel"/>
    <w:tmpl w:val="13A4ED68"/>
    <w:lvl w:ilvl="0" w:tplc="3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084D82"/>
    <w:multiLevelType w:val="hybridMultilevel"/>
    <w:tmpl w:val="DFB24CEC"/>
    <w:lvl w:ilvl="0" w:tplc="F1CE0190">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23DC7911"/>
    <w:multiLevelType w:val="hybridMultilevel"/>
    <w:tmpl w:val="6F56D932"/>
    <w:lvl w:ilvl="0" w:tplc="F1CE0190">
      <w:start w:val="1"/>
      <w:numFmt w:val="bullet"/>
      <w:lvlText w:val=""/>
      <w:lvlJc w:val="left"/>
      <w:pPr>
        <w:ind w:left="360" w:hanging="360"/>
      </w:pPr>
      <w:rPr>
        <w:rFonts w:ascii="Symbol" w:hAnsi="Symbol" w:hint="default"/>
      </w:rPr>
    </w:lvl>
    <w:lvl w:ilvl="1" w:tplc="E9924496">
      <w:start w:val="1"/>
      <w:numFmt w:val="lowerLetter"/>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F307CC2"/>
    <w:multiLevelType w:val="hybridMultilevel"/>
    <w:tmpl w:val="EF2039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8C4687"/>
    <w:multiLevelType w:val="hybridMultilevel"/>
    <w:tmpl w:val="C71E8276"/>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31500ADD"/>
    <w:multiLevelType w:val="hybridMultilevel"/>
    <w:tmpl w:val="CD90C624"/>
    <w:lvl w:ilvl="0" w:tplc="9D6841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74D7D"/>
    <w:multiLevelType w:val="hybridMultilevel"/>
    <w:tmpl w:val="15884116"/>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3FAA1155"/>
    <w:multiLevelType w:val="hybridMultilevel"/>
    <w:tmpl w:val="18BEA0A0"/>
    <w:lvl w:ilvl="0" w:tplc="F1CE0190">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3FBA7CD3"/>
    <w:multiLevelType w:val="hybridMultilevel"/>
    <w:tmpl w:val="209C53FE"/>
    <w:lvl w:ilvl="0" w:tplc="FFFFFFFF">
      <w:start w:val="1"/>
      <w:numFmt w:val="bullet"/>
      <w:lvlText w:val="­"/>
      <w:lvlJc w:val="left"/>
      <w:pPr>
        <w:ind w:left="360" w:hanging="360"/>
      </w:pPr>
      <w:rPr>
        <w:rFonts w:ascii="Courier New" w:hAnsi="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40152921"/>
    <w:multiLevelType w:val="hybridMultilevel"/>
    <w:tmpl w:val="2076BA82"/>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2767CD0"/>
    <w:multiLevelType w:val="hybridMultilevel"/>
    <w:tmpl w:val="6D9ED8D8"/>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431C5C9E"/>
    <w:multiLevelType w:val="hybridMultilevel"/>
    <w:tmpl w:val="69C8936C"/>
    <w:lvl w:ilvl="0" w:tplc="127435F4">
      <w:start w:val="1"/>
      <w:numFmt w:val="bullet"/>
      <w:lvlText w:val=""/>
      <w:lvlJc w:val="left"/>
      <w:pPr>
        <w:ind w:left="644" w:hanging="360"/>
      </w:pPr>
      <w:rPr>
        <w:rFonts w:ascii="Wingdings 3" w:hAnsi="Wingdings 3" w:hint="default"/>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15" w15:restartNumberingAfterBreak="0">
    <w:nsid w:val="48F35B24"/>
    <w:multiLevelType w:val="hybridMultilevel"/>
    <w:tmpl w:val="D0BEA14C"/>
    <w:lvl w:ilvl="0" w:tplc="32C288C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497D7C23"/>
    <w:multiLevelType w:val="hybridMultilevel"/>
    <w:tmpl w:val="5180F9BE"/>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4A056425"/>
    <w:multiLevelType w:val="hybridMultilevel"/>
    <w:tmpl w:val="55D0A686"/>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C48269A"/>
    <w:multiLevelType w:val="hybridMultilevel"/>
    <w:tmpl w:val="5C1C3084"/>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9" w15:restartNumberingAfterBreak="0">
    <w:nsid w:val="4E235536"/>
    <w:multiLevelType w:val="hybridMultilevel"/>
    <w:tmpl w:val="62060E9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0CC658B"/>
    <w:multiLevelType w:val="hybridMultilevel"/>
    <w:tmpl w:val="B62EA364"/>
    <w:lvl w:ilvl="0" w:tplc="300A0009">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52C46593"/>
    <w:multiLevelType w:val="hybridMultilevel"/>
    <w:tmpl w:val="0A165EE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C8772A"/>
    <w:multiLevelType w:val="hybridMultilevel"/>
    <w:tmpl w:val="934C42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774EAF"/>
    <w:multiLevelType w:val="hybridMultilevel"/>
    <w:tmpl w:val="C1F8C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AE001ED"/>
    <w:multiLevelType w:val="hybridMultilevel"/>
    <w:tmpl w:val="FD5A243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CF2330"/>
    <w:multiLevelType w:val="hybridMultilevel"/>
    <w:tmpl w:val="4E1E6E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19F4C5C"/>
    <w:multiLevelType w:val="hybridMultilevel"/>
    <w:tmpl w:val="400ED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F53236"/>
    <w:multiLevelType w:val="hybridMultilevel"/>
    <w:tmpl w:val="16FE51A8"/>
    <w:lvl w:ilvl="0" w:tplc="F1CE0190">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8" w15:restartNumberingAfterBreak="0">
    <w:nsid w:val="645F590E"/>
    <w:multiLevelType w:val="hybridMultilevel"/>
    <w:tmpl w:val="831C6960"/>
    <w:lvl w:ilvl="0" w:tplc="0046F7C0">
      <w:start w:val="1"/>
      <w:numFmt w:val="bullet"/>
      <w:lvlText w:val="•"/>
      <w:lvlJc w:val="left"/>
      <w:pPr>
        <w:tabs>
          <w:tab w:val="num" w:pos="720"/>
        </w:tabs>
        <w:ind w:left="720" w:hanging="360"/>
      </w:pPr>
      <w:rPr>
        <w:rFonts w:ascii="Arial" w:hAnsi="Arial" w:hint="default"/>
      </w:rPr>
    </w:lvl>
    <w:lvl w:ilvl="1" w:tplc="300A000D">
      <w:start w:val="1"/>
      <w:numFmt w:val="bullet"/>
      <w:lvlText w:val=""/>
      <w:lvlJc w:val="left"/>
      <w:pPr>
        <w:tabs>
          <w:tab w:val="num" w:pos="1440"/>
        </w:tabs>
        <w:ind w:left="1440" w:hanging="360"/>
      </w:pPr>
      <w:rPr>
        <w:rFonts w:ascii="Wingdings" w:hAnsi="Wingdings" w:hint="default"/>
      </w:rPr>
    </w:lvl>
    <w:lvl w:ilvl="2" w:tplc="BE3A51DC" w:tentative="1">
      <w:start w:val="1"/>
      <w:numFmt w:val="bullet"/>
      <w:lvlText w:val="•"/>
      <w:lvlJc w:val="left"/>
      <w:pPr>
        <w:tabs>
          <w:tab w:val="num" w:pos="2160"/>
        </w:tabs>
        <w:ind w:left="2160" w:hanging="360"/>
      </w:pPr>
      <w:rPr>
        <w:rFonts w:ascii="Arial" w:hAnsi="Arial" w:hint="default"/>
      </w:rPr>
    </w:lvl>
    <w:lvl w:ilvl="3" w:tplc="FA9E4240" w:tentative="1">
      <w:start w:val="1"/>
      <w:numFmt w:val="bullet"/>
      <w:lvlText w:val="•"/>
      <w:lvlJc w:val="left"/>
      <w:pPr>
        <w:tabs>
          <w:tab w:val="num" w:pos="2880"/>
        </w:tabs>
        <w:ind w:left="2880" w:hanging="360"/>
      </w:pPr>
      <w:rPr>
        <w:rFonts w:ascii="Arial" w:hAnsi="Arial" w:hint="default"/>
      </w:rPr>
    </w:lvl>
    <w:lvl w:ilvl="4" w:tplc="042EB256" w:tentative="1">
      <w:start w:val="1"/>
      <w:numFmt w:val="bullet"/>
      <w:lvlText w:val="•"/>
      <w:lvlJc w:val="left"/>
      <w:pPr>
        <w:tabs>
          <w:tab w:val="num" w:pos="3600"/>
        </w:tabs>
        <w:ind w:left="3600" w:hanging="360"/>
      </w:pPr>
      <w:rPr>
        <w:rFonts w:ascii="Arial" w:hAnsi="Arial" w:hint="default"/>
      </w:rPr>
    </w:lvl>
    <w:lvl w:ilvl="5" w:tplc="33AA78DE" w:tentative="1">
      <w:start w:val="1"/>
      <w:numFmt w:val="bullet"/>
      <w:lvlText w:val="•"/>
      <w:lvlJc w:val="left"/>
      <w:pPr>
        <w:tabs>
          <w:tab w:val="num" w:pos="4320"/>
        </w:tabs>
        <w:ind w:left="4320" w:hanging="360"/>
      </w:pPr>
      <w:rPr>
        <w:rFonts w:ascii="Arial" w:hAnsi="Arial" w:hint="default"/>
      </w:rPr>
    </w:lvl>
    <w:lvl w:ilvl="6" w:tplc="3F7CF4E0" w:tentative="1">
      <w:start w:val="1"/>
      <w:numFmt w:val="bullet"/>
      <w:lvlText w:val="•"/>
      <w:lvlJc w:val="left"/>
      <w:pPr>
        <w:tabs>
          <w:tab w:val="num" w:pos="5040"/>
        </w:tabs>
        <w:ind w:left="5040" w:hanging="360"/>
      </w:pPr>
      <w:rPr>
        <w:rFonts w:ascii="Arial" w:hAnsi="Arial" w:hint="default"/>
      </w:rPr>
    </w:lvl>
    <w:lvl w:ilvl="7" w:tplc="F9360E94" w:tentative="1">
      <w:start w:val="1"/>
      <w:numFmt w:val="bullet"/>
      <w:lvlText w:val="•"/>
      <w:lvlJc w:val="left"/>
      <w:pPr>
        <w:tabs>
          <w:tab w:val="num" w:pos="5760"/>
        </w:tabs>
        <w:ind w:left="5760" w:hanging="360"/>
      </w:pPr>
      <w:rPr>
        <w:rFonts w:ascii="Arial" w:hAnsi="Arial" w:hint="default"/>
      </w:rPr>
    </w:lvl>
    <w:lvl w:ilvl="8" w:tplc="A222654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FA6080"/>
    <w:multiLevelType w:val="hybridMultilevel"/>
    <w:tmpl w:val="CC543138"/>
    <w:lvl w:ilvl="0" w:tplc="0C0A0001">
      <w:start w:val="1"/>
      <w:numFmt w:val="bullet"/>
      <w:lvlText w:val=""/>
      <w:lvlJc w:val="left"/>
      <w:pPr>
        <w:ind w:left="2912" w:hanging="360"/>
      </w:pPr>
      <w:rPr>
        <w:rFonts w:ascii="Symbol" w:hAnsi="Symbol"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30" w15:restartNumberingAfterBreak="0">
    <w:nsid w:val="7D447E78"/>
    <w:multiLevelType w:val="hybridMultilevel"/>
    <w:tmpl w:val="136A3F22"/>
    <w:lvl w:ilvl="0" w:tplc="4476DF10">
      <w:start w:val="1"/>
      <w:numFmt w:val="bullet"/>
      <w:lvlText w:val=""/>
      <w:lvlJc w:val="left"/>
      <w:pPr>
        <w:ind w:left="720" w:hanging="360"/>
      </w:pPr>
      <w:rPr>
        <w:rFonts w:ascii="Wingdings" w:hAnsi="Wingdings" w:hint="default"/>
        <w:color w:val="548DD4" w:themeColor="text2" w:themeTint="99"/>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F216E89"/>
    <w:multiLevelType w:val="hybridMultilevel"/>
    <w:tmpl w:val="A7D66650"/>
    <w:lvl w:ilvl="0" w:tplc="F1CE0190">
      <w:start w:val="1"/>
      <w:numFmt w:val="bullet"/>
      <w:lvlText w:val=""/>
      <w:lvlJc w:val="left"/>
      <w:pPr>
        <w:ind w:left="360" w:hanging="360"/>
      </w:pPr>
      <w:rPr>
        <w:rFonts w:ascii="Symbol" w:hAnsi="Symbol"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4"/>
  </w:num>
  <w:num w:numId="2">
    <w:abstractNumId w:val="8"/>
  </w:num>
  <w:num w:numId="3">
    <w:abstractNumId w:val="30"/>
  </w:num>
  <w:num w:numId="4">
    <w:abstractNumId w:val="15"/>
  </w:num>
  <w:num w:numId="5">
    <w:abstractNumId w:val="28"/>
  </w:num>
  <w:num w:numId="6">
    <w:abstractNumId w:val="20"/>
  </w:num>
  <w:num w:numId="7">
    <w:abstractNumId w:val="19"/>
  </w:num>
  <w:num w:numId="8">
    <w:abstractNumId w:val="22"/>
  </w:num>
  <w:num w:numId="9">
    <w:abstractNumId w:val="25"/>
  </w:num>
  <w:num w:numId="10">
    <w:abstractNumId w:val="17"/>
  </w:num>
  <w:num w:numId="11">
    <w:abstractNumId w:val="12"/>
  </w:num>
  <w:num w:numId="12">
    <w:abstractNumId w:val="3"/>
  </w:num>
  <w:num w:numId="13">
    <w:abstractNumId w:val="29"/>
  </w:num>
  <w:num w:numId="14">
    <w:abstractNumId w:val="11"/>
  </w:num>
  <w:num w:numId="15">
    <w:abstractNumId w:val="13"/>
  </w:num>
  <w:num w:numId="16">
    <w:abstractNumId w:val="9"/>
  </w:num>
  <w:num w:numId="17">
    <w:abstractNumId w:val="18"/>
  </w:num>
  <w:num w:numId="18">
    <w:abstractNumId w:val="14"/>
  </w:num>
  <w:num w:numId="19">
    <w:abstractNumId w:val="2"/>
  </w:num>
  <w:num w:numId="20">
    <w:abstractNumId w:val="1"/>
  </w:num>
  <w:num w:numId="21">
    <w:abstractNumId w:val="27"/>
  </w:num>
  <w:num w:numId="22">
    <w:abstractNumId w:val="4"/>
  </w:num>
  <w:num w:numId="23">
    <w:abstractNumId w:val="31"/>
  </w:num>
  <w:num w:numId="24">
    <w:abstractNumId w:val="0"/>
  </w:num>
  <w:num w:numId="25">
    <w:abstractNumId w:val="5"/>
  </w:num>
  <w:num w:numId="26">
    <w:abstractNumId w:val="10"/>
  </w:num>
  <w:num w:numId="27">
    <w:abstractNumId w:val="16"/>
  </w:num>
  <w:num w:numId="28">
    <w:abstractNumId w:val="7"/>
  </w:num>
  <w:num w:numId="29">
    <w:abstractNumId w:val="6"/>
  </w:num>
  <w:num w:numId="30">
    <w:abstractNumId w:val="21"/>
  </w:num>
  <w:num w:numId="31">
    <w:abstractNumId w:val="26"/>
  </w:num>
  <w:num w:numId="3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19"/>
    <w:rsid w:val="00000329"/>
    <w:rsid w:val="00001612"/>
    <w:rsid w:val="00003394"/>
    <w:rsid w:val="00004656"/>
    <w:rsid w:val="000074C7"/>
    <w:rsid w:val="000079EB"/>
    <w:rsid w:val="00010392"/>
    <w:rsid w:val="000124EA"/>
    <w:rsid w:val="00016A14"/>
    <w:rsid w:val="00025029"/>
    <w:rsid w:val="000251C1"/>
    <w:rsid w:val="00025791"/>
    <w:rsid w:val="000323B2"/>
    <w:rsid w:val="000372B6"/>
    <w:rsid w:val="00043151"/>
    <w:rsid w:val="00046270"/>
    <w:rsid w:val="000465DC"/>
    <w:rsid w:val="00051EAD"/>
    <w:rsid w:val="00060452"/>
    <w:rsid w:val="000620CC"/>
    <w:rsid w:val="00062E0E"/>
    <w:rsid w:val="00071ABC"/>
    <w:rsid w:val="00072674"/>
    <w:rsid w:val="00073DAF"/>
    <w:rsid w:val="00077A24"/>
    <w:rsid w:val="00080822"/>
    <w:rsid w:val="000829ED"/>
    <w:rsid w:val="0008703D"/>
    <w:rsid w:val="0009267B"/>
    <w:rsid w:val="00092D6E"/>
    <w:rsid w:val="00093733"/>
    <w:rsid w:val="00095D7E"/>
    <w:rsid w:val="000977D2"/>
    <w:rsid w:val="000A2471"/>
    <w:rsid w:val="000A52A9"/>
    <w:rsid w:val="000A6BE3"/>
    <w:rsid w:val="000A7C6C"/>
    <w:rsid w:val="000B1A4C"/>
    <w:rsid w:val="000B1BD7"/>
    <w:rsid w:val="000B4BF6"/>
    <w:rsid w:val="000B6478"/>
    <w:rsid w:val="000C421E"/>
    <w:rsid w:val="000C5894"/>
    <w:rsid w:val="000D287C"/>
    <w:rsid w:val="000D29B5"/>
    <w:rsid w:val="000D4BA9"/>
    <w:rsid w:val="000D55EE"/>
    <w:rsid w:val="000D61E5"/>
    <w:rsid w:val="000E291D"/>
    <w:rsid w:val="000E3D61"/>
    <w:rsid w:val="000F0450"/>
    <w:rsid w:val="000F1F33"/>
    <w:rsid w:val="0010120B"/>
    <w:rsid w:val="00103575"/>
    <w:rsid w:val="0010462A"/>
    <w:rsid w:val="00107F9D"/>
    <w:rsid w:val="00110535"/>
    <w:rsid w:val="00112475"/>
    <w:rsid w:val="00113151"/>
    <w:rsid w:val="001222FF"/>
    <w:rsid w:val="0012311B"/>
    <w:rsid w:val="0012324E"/>
    <w:rsid w:val="001265F0"/>
    <w:rsid w:val="00132FD5"/>
    <w:rsid w:val="001355B8"/>
    <w:rsid w:val="0014110A"/>
    <w:rsid w:val="001451A1"/>
    <w:rsid w:val="00147522"/>
    <w:rsid w:val="0014760F"/>
    <w:rsid w:val="00147DE8"/>
    <w:rsid w:val="0015689C"/>
    <w:rsid w:val="001579DE"/>
    <w:rsid w:val="0017337A"/>
    <w:rsid w:val="0018075C"/>
    <w:rsid w:val="00185169"/>
    <w:rsid w:val="00186CCA"/>
    <w:rsid w:val="001A0D3A"/>
    <w:rsid w:val="001A5579"/>
    <w:rsid w:val="001B1F12"/>
    <w:rsid w:val="001B7BB0"/>
    <w:rsid w:val="001C0F57"/>
    <w:rsid w:val="001C32C0"/>
    <w:rsid w:val="001C437F"/>
    <w:rsid w:val="001C6C05"/>
    <w:rsid w:val="001D1D8B"/>
    <w:rsid w:val="001D40CE"/>
    <w:rsid w:val="001D41F9"/>
    <w:rsid w:val="001D73A0"/>
    <w:rsid w:val="001E0A63"/>
    <w:rsid w:val="001E6F8E"/>
    <w:rsid w:val="001F2EAC"/>
    <w:rsid w:val="001F478A"/>
    <w:rsid w:val="002013FD"/>
    <w:rsid w:val="00201A73"/>
    <w:rsid w:val="00202ED3"/>
    <w:rsid w:val="0021054F"/>
    <w:rsid w:val="00213954"/>
    <w:rsid w:val="0021409F"/>
    <w:rsid w:val="00215DEE"/>
    <w:rsid w:val="00216049"/>
    <w:rsid w:val="00222CDB"/>
    <w:rsid w:val="00234E79"/>
    <w:rsid w:val="002376C6"/>
    <w:rsid w:val="00240266"/>
    <w:rsid w:val="00241CDB"/>
    <w:rsid w:val="00242AF9"/>
    <w:rsid w:val="00243978"/>
    <w:rsid w:val="002459FB"/>
    <w:rsid w:val="0025012D"/>
    <w:rsid w:val="00253117"/>
    <w:rsid w:val="002607EA"/>
    <w:rsid w:val="002612E1"/>
    <w:rsid w:val="0026338E"/>
    <w:rsid w:val="002639D1"/>
    <w:rsid w:val="00272897"/>
    <w:rsid w:val="00283D2F"/>
    <w:rsid w:val="00286BDA"/>
    <w:rsid w:val="0029171F"/>
    <w:rsid w:val="0029175C"/>
    <w:rsid w:val="0029748F"/>
    <w:rsid w:val="002A0B75"/>
    <w:rsid w:val="002A5FC4"/>
    <w:rsid w:val="002A619F"/>
    <w:rsid w:val="002B5602"/>
    <w:rsid w:val="002C090F"/>
    <w:rsid w:val="002C0BFD"/>
    <w:rsid w:val="002C5BDC"/>
    <w:rsid w:val="002C6DF7"/>
    <w:rsid w:val="002D05DF"/>
    <w:rsid w:val="002D3331"/>
    <w:rsid w:val="002D450D"/>
    <w:rsid w:val="002D516A"/>
    <w:rsid w:val="002D541C"/>
    <w:rsid w:val="002D685F"/>
    <w:rsid w:val="002D786A"/>
    <w:rsid w:val="002E31AF"/>
    <w:rsid w:val="002E32AA"/>
    <w:rsid w:val="002E6D9F"/>
    <w:rsid w:val="002F0FFA"/>
    <w:rsid w:val="002F21F9"/>
    <w:rsid w:val="002F5880"/>
    <w:rsid w:val="00300C69"/>
    <w:rsid w:val="00303FFC"/>
    <w:rsid w:val="003112A1"/>
    <w:rsid w:val="00312A9C"/>
    <w:rsid w:val="003135F3"/>
    <w:rsid w:val="00313BA1"/>
    <w:rsid w:val="00314B82"/>
    <w:rsid w:val="00314D65"/>
    <w:rsid w:val="003227B7"/>
    <w:rsid w:val="00322A89"/>
    <w:rsid w:val="00324CD8"/>
    <w:rsid w:val="003255F2"/>
    <w:rsid w:val="00325ECC"/>
    <w:rsid w:val="00332688"/>
    <w:rsid w:val="00333E19"/>
    <w:rsid w:val="00336D10"/>
    <w:rsid w:val="00337149"/>
    <w:rsid w:val="00342697"/>
    <w:rsid w:val="00343AD1"/>
    <w:rsid w:val="003449F2"/>
    <w:rsid w:val="00345AC9"/>
    <w:rsid w:val="00351125"/>
    <w:rsid w:val="0035142E"/>
    <w:rsid w:val="00354467"/>
    <w:rsid w:val="00361328"/>
    <w:rsid w:val="003626FC"/>
    <w:rsid w:val="0036305C"/>
    <w:rsid w:val="003639A8"/>
    <w:rsid w:val="00370833"/>
    <w:rsid w:val="0037388C"/>
    <w:rsid w:val="00373D32"/>
    <w:rsid w:val="0037461F"/>
    <w:rsid w:val="003800D2"/>
    <w:rsid w:val="00385063"/>
    <w:rsid w:val="003875A6"/>
    <w:rsid w:val="00392D92"/>
    <w:rsid w:val="00396BF8"/>
    <w:rsid w:val="003A0C61"/>
    <w:rsid w:val="003A5259"/>
    <w:rsid w:val="003A7801"/>
    <w:rsid w:val="003A7C25"/>
    <w:rsid w:val="003B02C3"/>
    <w:rsid w:val="003B1C60"/>
    <w:rsid w:val="003B28DE"/>
    <w:rsid w:val="003B3407"/>
    <w:rsid w:val="003C3153"/>
    <w:rsid w:val="003D2A4A"/>
    <w:rsid w:val="003D7BB4"/>
    <w:rsid w:val="003E3F29"/>
    <w:rsid w:val="003E6275"/>
    <w:rsid w:val="003F1AF5"/>
    <w:rsid w:val="003F1C6B"/>
    <w:rsid w:val="003F470D"/>
    <w:rsid w:val="003F5D5D"/>
    <w:rsid w:val="003F7257"/>
    <w:rsid w:val="00402A93"/>
    <w:rsid w:val="004055E3"/>
    <w:rsid w:val="0041387B"/>
    <w:rsid w:val="00413BCF"/>
    <w:rsid w:val="00416953"/>
    <w:rsid w:val="004202F9"/>
    <w:rsid w:val="00420891"/>
    <w:rsid w:val="00420A7A"/>
    <w:rsid w:val="00420A8A"/>
    <w:rsid w:val="00423155"/>
    <w:rsid w:val="00430864"/>
    <w:rsid w:val="00437F1A"/>
    <w:rsid w:val="00445743"/>
    <w:rsid w:val="00450424"/>
    <w:rsid w:val="0045337E"/>
    <w:rsid w:val="0045686D"/>
    <w:rsid w:val="004568E8"/>
    <w:rsid w:val="00456B80"/>
    <w:rsid w:val="00457CDD"/>
    <w:rsid w:val="00460392"/>
    <w:rsid w:val="0046260E"/>
    <w:rsid w:val="004757E4"/>
    <w:rsid w:val="00480C65"/>
    <w:rsid w:val="004920E5"/>
    <w:rsid w:val="004A01A4"/>
    <w:rsid w:val="004A489E"/>
    <w:rsid w:val="004A67B3"/>
    <w:rsid w:val="004A70A7"/>
    <w:rsid w:val="004B33B4"/>
    <w:rsid w:val="004B77FF"/>
    <w:rsid w:val="004C2D78"/>
    <w:rsid w:val="004C39E4"/>
    <w:rsid w:val="004C4358"/>
    <w:rsid w:val="004C4635"/>
    <w:rsid w:val="004C4ABF"/>
    <w:rsid w:val="004C6035"/>
    <w:rsid w:val="004C66F0"/>
    <w:rsid w:val="004C7447"/>
    <w:rsid w:val="004D006D"/>
    <w:rsid w:val="004D3157"/>
    <w:rsid w:val="004D3A8E"/>
    <w:rsid w:val="004D7F97"/>
    <w:rsid w:val="004E0ABF"/>
    <w:rsid w:val="004E457B"/>
    <w:rsid w:val="004E46B8"/>
    <w:rsid w:val="004E7655"/>
    <w:rsid w:val="004F127D"/>
    <w:rsid w:val="004F3FC2"/>
    <w:rsid w:val="0050119B"/>
    <w:rsid w:val="00501940"/>
    <w:rsid w:val="005028C7"/>
    <w:rsid w:val="00502FB2"/>
    <w:rsid w:val="0050526C"/>
    <w:rsid w:val="00506A01"/>
    <w:rsid w:val="00513100"/>
    <w:rsid w:val="005202AB"/>
    <w:rsid w:val="00532D25"/>
    <w:rsid w:val="005359A8"/>
    <w:rsid w:val="00536A7D"/>
    <w:rsid w:val="00545293"/>
    <w:rsid w:val="00550580"/>
    <w:rsid w:val="00550D65"/>
    <w:rsid w:val="00557D2B"/>
    <w:rsid w:val="00561C8C"/>
    <w:rsid w:val="00562248"/>
    <w:rsid w:val="00563159"/>
    <w:rsid w:val="00565235"/>
    <w:rsid w:val="005745A2"/>
    <w:rsid w:val="00575A04"/>
    <w:rsid w:val="00577492"/>
    <w:rsid w:val="005808A5"/>
    <w:rsid w:val="00581CFB"/>
    <w:rsid w:val="00591208"/>
    <w:rsid w:val="00593005"/>
    <w:rsid w:val="00593A23"/>
    <w:rsid w:val="00595D07"/>
    <w:rsid w:val="005B1334"/>
    <w:rsid w:val="005B1E8B"/>
    <w:rsid w:val="005B453D"/>
    <w:rsid w:val="005B485B"/>
    <w:rsid w:val="005B6094"/>
    <w:rsid w:val="005B6353"/>
    <w:rsid w:val="005B73BE"/>
    <w:rsid w:val="005C1507"/>
    <w:rsid w:val="005C1E8E"/>
    <w:rsid w:val="005D2D23"/>
    <w:rsid w:val="005D3BAB"/>
    <w:rsid w:val="005E61FA"/>
    <w:rsid w:val="00601B77"/>
    <w:rsid w:val="006023AA"/>
    <w:rsid w:val="006047E2"/>
    <w:rsid w:val="00606AE2"/>
    <w:rsid w:val="00607FE2"/>
    <w:rsid w:val="0061351D"/>
    <w:rsid w:val="00615F73"/>
    <w:rsid w:val="00623896"/>
    <w:rsid w:val="00630524"/>
    <w:rsid w:val="00631694"/>
    <w:rsid w:val="0063256D"/>
    <w:rsid w:val="0064085E"/>
    <w:rsid w:val="006413AD"/>
    <w:rsid w:val="0064639A"/>
    <w:rsid w:val="00647654"/>
    <w:rsid w:val="006536CC"/>
    <w:rsid w:val="00654968"/>
    <w:rsid w:val="006568A3"/>
    <w:rsid w:val="00657DBE"/>
    <w:rsid w:val="006604FF"/>
    <w:rsid w:val="006612DC"/>
    <w:rsid w:val="00664400"/>
    <w:rsid w:val="0066734B"/>
    <w:rsid w:val="00674B4E"/>
    <w:rsid w:val="00675AA5"/>
    <w:rsid w:val="00676563"/>
    <w:rsid w:val="00681DA3"/>
    <w:rsid w:val="00681DD7"/>
    <w:rsid w:val="006837D7"/>
    <w:rsid w:val="0068533C"/>
    <w:rsid w:val="006853D4"/>
    <w:rsid w:val="00685D2B"/>
    <w:rsid w:val="00687A10"/>
    <w:rsid w:val="00690804"/>
    <w:rsid w:val="006923F5"/>
    <w:rsid w:val="00694094"/>
    <w:rsid w:val="006975C5"/>
    <w:rsid w:val="006A236E"/>
    <w:rsid w:val="006A2647"/>
    <w:rsid w:val="006A37A1"/>
    <w:rsid w:val="006A507B"/>
    <w:rsid w:val="006A787F"/>
    <w:rsid w:val="006A791B"/>
    <w:rsid w:val="006B1043"/>
    <w:rsid w:val="006B4F49"/>
    <w:rsid w:val="006C06E0"/>
    <w:rsid w:val="006C0CEF"/>
    <w:rsid w:val="006C4C04"/>
    <w:rsid w:val="006C5397"/>
    <w:rsid w:val="006C74C7"/>
    <w:rsid w:val="006D05CC"/>
    <w:rsid w:val="006D0617"/>
    <w:rsid w:val="006D71B7"/>
    <w:rsid w:val="006E1A5D"/>
    <w:rsid w:val="006E4D0F"/>
    <w:rsid w:val="006F22AA"/>
    <w:rsid w:val="006F2365"/>
    <w:rsid w:val="006F23FE"/>
    <w:rsid w:val="006F5D67"/>
    <w:rsid w:val="006F6A68"/>
    <w:rsid w:val="006F7E9C"/>
    <w:rsid w:val="00703B70"/>
    <w:rsid w:val="007046C9"/>
    <w:rsid w:val="007076FC"/>
    <w:rsid w:val="007100A9"/>
    <w:rsid w:val="00711538"/>
    <w:rsid w:val="00715B9B"/>
    <w:rsid w:val="007174EA"/>
    <w:rsid w:val="00720629"/>
    <w:rsid w:val="00724379"/>
    <w:rsid w:val="00730364"/>
    <w:rsid w:val="00737D61"/>
    <w:rsid w:val="00740386"/>
    <w:rsid w:val="00751D24"/>
    <w:rsid w:val="007543A8"/>
    <w:rsid w:val="00760ADB"/>
    <w:rsid w:val="00761619"/>
    <w:rsid w:val="0076302A"/>
    <w:rsid w:val="0077305A"/>
    <w:rsid w:val="0077718D"/>
    <w:rsid w:val="00781E57"/>
    <w:rsid w:val="00782FB7"/>
    <w:rsid w:val="007830CF"/>
    <w:rsid w:val="00785C5A"/>
    <w:rsid w:val="00793A78"/>
    <w:rsid w:val="00794981"/>
    <w:rsid w:val="007A1CB0"/>
    <w:rsid w:val="007B1479"/>
    <w:rsid w:val="007B59C0"/>
    <w:rsid w:val="007C2322"/>
    <w:rsid w:val="007C23E5"/>
    <w:rsid w:val="007C5084"/>
    <w:rsid w:val="007C5B79"/>
    <w:rsid w:val="007C7A2D"/>
    <w:rsid w:val="007D109C"/>
    <w:rsid w:val="007D12E8"/>
    <w:rsid w:val="007D1DA7"/>
    <w:rsid w:val="007D2440"/>
    <w:rsid w:val="007D4837"/>
    <w:rsid w:val="007E5AB7"/>
    <w:rsid w:val="007E7B82"/>
    <w:rsid w:val="007E7DD2"/>
    <w:rsid w:val="00801F6B"/>
    <w:rsid w:val="00802644"/>
    <w:rsid w:val="008029B7"/>
    <w:rsid w:val="00804D16"/>
    <w:rsid w:val="0080591E"/>
    <w:rsid w:val="008077D2"/>
    <w:rsid w:val="00810734"/>
    <w:rsid w:val="00812346"/>
    <w:rsid w:val="00812467"/>
    <w:rsid w:val="00813B8C"/>
    <w:rsid w:val="008143AC"/>
    <w:rsid w:val="00815118"/>
    <w:rsid w:val="00816828"/>
    <w:rsid w:val="008214C1"/>
    <w:rsid w:val="008266FC"/>
    <w:rsid w:val="00832489"/>
    <w:rsid w:val="00832F2E"/>
    <w:rsid w:val="008331D8"/>
    <w:rsid w:val="00833B5F"/>
    <w:rsid w:val="00835810"/>
    <w:rsid w:val="008375FD"/>
    <w:rsid w:val="008407C2"/>
    <w:rsid w:val="008425FF"/>
    <w:rsid w:val="00844DB9"/>
    <w:rsid w:val="00846504"/>
    <w:rsid w:val="0085281E"/>
    <w:rsid w:val="008544C2"/>
    <w:rsid w:val="00856205"/>
    <w:rsid w:val="00856DE2"/>
    <w:rsid w:val="0086004C"/>
    <w:rsid w:val="00860332"/>
    <w:rsid w:val="00861276"/>
    <w:rsid w:val="00863F7C"/>
    <w:rsid w:val="00864404"/>
    <w:rsid w:val="008648FF"/>
    <w:rsid w:val="00864EC9"/>
    <w:rsid w:val="008814C6"/>
    <w:rsid w:val="00882DDF"/>
    <w:rsid w:val="00884075"/>
    <w:rsid w:val="00884405"/>
    <w:rsid w:val="00884DD8"/>
    <w:rsid w:val="0088522D"/>
    <w:rsid w:val="0089155F"/>
    <w:rsid w:val="008964BA"/>
    <w:rsid w:val="008A56B4"/>
    <w:rsid w:val="008A7270"/>
    <w:rsid w:val="008A7635"/>
    <w:rsid w:val="008B0C56"/>
    <w:rsid w:val="008B120D"/>
    <w:rsid w:val="008B2051"/>
    <w:rsid w:val="008B46AD"/>
    <w:rsid w:val="008C0DE9"/>
    <w:rsid w:val="008D0047"/>
    <w:rsid w:val="008D234C"/>
    <w:rsid w:val="008D2E46"/>
    <w:rsid w:val="008D4CBF"/>
    <w:rsid w:val="008D59EF"/>
    <w:rsid w:val="008E1185"/>
    <w:rsid w:val="008E6638"/>
    <w:rsid w:val="008F44D4"/>
    <w:rsid w:val="008F6569"/>
    <w:rsid w:val="008F7B9A"/>
    <w:rsid w:val="00901378"/>
    <w:rsid w:val="009068BB"/>
    <w:rsid w:val="0090707C"/>
    <w:rsid w:val="00907BC5"/>
    <w:rsid w:val="00914B27"/>
    <w:rsid w:val="00923306"/>
    <w:rsid w:val="00923EBE"/>
    <w:rsid w:val="009321F4"/>
    <w:rsid w:val="009350FD"/>
    <w:rsid w:val="00936014"/>
    <w:rsid w:val="0093740E"/>
    <w:rsid w:val="009414E2"/>
    <w:rsid w:val="009453CF"/>
    <w:rsid w:val="0094579C"/>
    <w:rsid w:val="0094588F"/>
    <w:rsid w:val="00953F94"/>
    <w:rsid w:val="0095558E"/>
    <w:rsid w:val="00955F19"/>
    <w:rsid w:val="00961447"/>
    <w:rsid w:val="0096320D"/>
    <w:rsid w:val="00964456"/>
    <w:rsid w:val="009672EA"/>
    <w:rsid w:val="00981938"/>
    <w:rsid w:val="00982949"/>
    <w:rsid w:val="00994BC9"/>
    <w:rsid w:val="009979E5"/>
    <w:rsid w:val="009A46FF"/>
    <w:rsid w:val="009B1F95"/>
    <w:rsid w:val="009B79D5"/>
    <w:rsid w:val="009C2026"/>
    <w:rsid w:val="009C35B5"/>
    <w:rsid w:val="009C4B53"/>
    <w:rsid w:val="009C7EA5"/>
    <w:rsid w:val="009D397F"/>
    <w:rsid w:val="009D4AA0"/>
    <w:rsid w:val="009D7FAD"/>
    <w:rsid w:val="009E40A8"/>
    <w:rsid w:val="009E69B7"/>
    <w:rsid w:val="009E7448"/>
    <w:rsid w:val="009F00EE"/>
    <w:rsid w:val="009F72CF"/>
    <w:rsid w:val="009F76A1"/>
    <w:rsid w:val="00A0438D"/>
    <w:rsid w:val="00A0714E"/>
    <w:rsid w:val="00A071E0"/>
    <w:rsid w:val="00A12DFC"/>
    <w:rsid w:val="00A13BD6"/>
    <w:rsid w:val="00A173FE"/>
    <w:rsid w:val="00A2011A"/>
    <w:rsid w:val="00A31900"/>
    <w:rsid w:val="00A323F6"/>
    <w:rsid w:val="00A4697A"/>
    <w:rsid w:val="00A47E16"/>
    <w:rsid w:val="00A50761"/>
    <w:rsid w:val="00A57A6A"/>
    <w:rsid w:val="00A62E62"/>
    <w:rsid w:val="00A64AFA"/>
    <w:rsid w:val="00A65587"/>
    <w:rsid w:val="00A66D70"/>
    <w:rsid w:val="00A67E92"/>
    <w:rsid w:val="00A74387"/>
    <w:rsid w:val="00A75866"/>
    <w:rsid w:val="00A819A8"/>
    <w:rsid w:val="00A94E97"/>
    <w:rsid w:val="00AA5ECD"/>
    <w:rsid w:val="00AA5F80"/>
    <w:rsid w:val="00AB1ACE"/>
    <w:rsid w:val="00AB33EA"/>
    <w:rsid w:val="00AB5996"/>
    <w:rsid w:val="00AB6F37"/>
    <w:rsid w:val="00AC1FD3"/>
    <w:rsid w:val="00AE4D6F"/>
    <w:rsid w:val="00AF0A6A"/>
    <w:rsid w:val="00AF5225"/>
    <w:rsid w:val="00AF60CC"/>
    <w:rsid w:val="00B00122"/>
    <w:rsid w:val="00B007FE"/>
    <w:rsid w:val="00B018B6"/>
    <w:rsid w:val="00B034B9"/>
    <w:rsid w:val="00B0599D"/>
    <w:rsid w:val="00B162CC"/>
    <w:rsid w:val="00B20A8C"/>
    <w:rsid w:val="00B257BE"/>
    <w:rsid w:val="00B268E4"/>
    <w:rsid w:val="00B31D7E"/>
    <w:rsid w:val="00B359F8"/>
    <w:rsid w:val="00B40196"/>
    <w:rsid w:val="00B611C7"/>
    <w:rsid w:val="00B654AF"/>
    <w:rsid w:val="00B65ACF"/>
    <w:rsid w:val="00B65B61"/>
    <w:rsid w:val="00B65D99"/>
    <w:rsid w:val="00B66D5A"/>
    <w:rsid w:val="00B75B80"/>
    <w:rsid w:val="00B77CA1"/>
    <w:rsid w:val="00B84782"/>
    <w:rsid w:val="00B875B6"/>
    <w:rsid w:val="00B900E9"/>
    <w:rsid w:val="00B914A0"/>
    <w:rsid w:val="00B92F1F"/>
    <w:rsid w:val="00B9371F"/>
    <w:rsid w:val="00BA5A44"/>
    <w:rsid w:val="00BB18DE"/>
    <w:rsid w:val="00BB7D88"/>
    <w:rsid w:val="00BC1257"/>
    <w:rsid w:val="00BD1499"/>
    <w:rsid w:val="00BD3315"/>
    <w:rsid w:val="00BD739A"/>
    <w:rsid w:val="00BE4745"/>
    <w:rsid w:val="00BE657C"/>
    <w:rsid w:val="00BE6FDD"/>
    <w:rsid w:val="00BE75F3"/>
    <w:rsid w:val="00BF4975"/>
    <w:rsid w:val="00BF6FC3"/>
    <w:rsid w:val="00C05F82"/>
    <w:rsid w:val="00C12188"/>
    <w:rsid w:val="00C207D5"/>
    <w:rsid w:val="00C24C2A"/>
    <w:rsid w:val="00C25514"/>
    <w:rsid w:val="00C270CD"/>
    <w:rsid w:val="00C32EB0"/>
    <w:rsid w:val="00C32F21"/>
    <w:rsid w:val="00C334E9"/>
    <w:rsid w:val="00C3392C"/>
    <w:rsid w:val="00C375A1"/>
    <w:rsid w:val="00C375E2"/>
    <w:rsid w:val="00C41A73"/>
    <w:rsid w:val="00C442F2"/>
    <w:rsid w:val="00C473D7"/>
    <w:rsid w:val="00C53C3E"/>
    <w:rsid w:val="00C60F34"/>
    <w:rsid w:val="00C62E2E"/>
    <w:rsid w:val="00C6691C"/>
    <w:rsid w:val="00C7407B"/>
    <w:rsid w:val="00C77BE6"/>
    <w:rsid w:val="00C84F49"/>
    <w:rsid w:val="00C90141"/>
    <w:rsid w:val="00C90523"/>
    <w:rsid w:val="00C96C47"/>
    <w:rsid w:val="00C97BFA"/>
    <w:rsid w:val="00CA1ED9"/>
    <w:rsid w:val="00CA7C4B"/>
    <w:rsid w:val="00CA7D45"/>
    <w:rsid w:val="00CB5EE9"/>
    <w:rsid w:val="00CC05C4"/>
    <w:rsid w:val="00CD3E78"/>
    <w:rsid w:val="00CD4BBC"/>
    <w:rsid w:val="00CE23DA"/>
    <w:rsid w:val="00CE2C1A"/>
    <w:rsid w:val="00CE4C6D"/>
    <w:rsid w:val="00CE58DF"/>
    <w:rsid w:val="00CE5B7C"/>
    <w:rsid w:val="00CE5D3D"/>
    <w:rsid w:val="00CE77C1"/>
    <w:rsid w:val="00CF274F"/>
    <w:rsid w:val="00CF6786"/>
    <w:rsid w:val="00D0352F"/>
    <w:rsid w:val="00D0355C"/>
    <w:rsid w:val="00D03B52"/>
    <w:rsid w:val="00D07284"/>
    <w:rsid w:val="00D075EF"/>
    <w:rsid w:val="00D11D57"/>
    <w:rsid w:val="00D12E6B"/>
    <w:rsid w:val="00D1334E"/>
    <w:rsid w:val="00D14771"/>
    <w:rsid w:val="00D20A0E"/>
    <w:rsid w:val="00D32B74"/>
    <w:rsid w:val="00D44C20"/>
    <w:rsid w:val="00D456E1"/>
    <w:rsid w:val="00D47C0D"/>
    <w:rsid w:val="00D5473D"/>
    <w:rsid w:val="00D5795E"/>
    <w:rsid w:val="00D60102"/>
    <w:rsid w:val="00D61A39"/>
    <w:rsid w:val="00D63239"/>
    <w:rsid w:val="00D65621"/>
    <w:rsid w:val="00D667ED"/>
    <w:rsid w:val="00D67D20"/>
    <w:rsid w:val="00D7119F"/>
    <w:rsid w:val="00D72AA6"/>
    <w:rsid w:val="00D75586"/>
    <w:rsid w:val="00D75A43"/>
    <w:rsid w:val="00D763D6"/>
    <w:rsid w:val="00D85D74"/>
    <w:rsid w:val="00D873A5"/>
    <w:rsid w:val="00D875C6"/>
    <w:rsid w:val="00D91C1A"/>
    <w:rsid w:val="00D928AE"/>
    <w:rsid w:val="00DA074D"/>
    <w:rsid w:val="00DA33F0"/>
    <w:rsid w:val="00DA6115"/>
    <w:rsid w:val="00DB4598"/>
    <w:rsid w:val="00DC37C6"/>
    <w:rsid w:val="00DC3A9F"/>
    <w:rsid w:val="00DD0ED2"/>
    <w:rsid w:val="00DD1C9F"/>
    <w:rsid w:val="00DD6B2A"/>
    <w:rsid w:val="00DE0ED6"/>
    <w:rsid w:val="00DE15B5"/>
    <w:rsid w:val="00DE356E"/>
    <w:rsid w:val="00DE3DD0"/>
    <w:rsid w:val="00DE5F6F"/>
    <w:rsid w:val="00DF3ECE"/>
    <w:rsid w:val="00DF556C"/>
    <w:rsid w:val="00E0029D"/>
    <w:rsid w:val="00E05CD2"/>
    <w:rsid w:val="00E14252"/>
    <w:rsid w:val="00E14D1A"/>
    <w:rsid w:val="00E20255"/>
    <w:rsid w:val="00E210F5"/>
    <w:rsid w:val="00E212D3"/>
    <w:rsid w:val="00E24261"/>
    <w:rsid w:val="00E256E8"/>
    <w:rsid w:val="00E25EFD"/>
    <w:rsid w:val="00E2710C"/>
    <w:rsid w:val="00E3408A"/>
    <w:rsid w:val="00E3639D"/>
    <w:rsid w:val="00E3797B"/>
    <w:rsid w:val="00E40413"/>
    <w:rsid w:val="00E40F27"/>
    <w:rsid w:val="00E411D8"/>
    <w:rsid w:val="00E43788"/>
    <w:rsid w:val="00E43C1A"/>
    <w:rsid w:val="00E456D5"/>
    <w:rsid w:val="00E534B1"/>
    <w:rsid w:val="00E53BBA"/>
    <w:rsid w:val="00E56BF0"/>
    <w:rsid w:val="00E60FC4"/>
    <w:rsid w:val="00E63DDD"/>
    <w:rsid w:val="00E7133C"/>
    <w:rsid w:val="00E737B6"/>
    <w:rsid w:val="00E74FBA"/>
    <w:rsid w:val="00E75A1E"/>
    <w:rsid w:val="00E75D86"/>
    <w:rsid w:val="00E77E7C"/>
    <w:rsid w:val="00E80541"/>
    <w:rsid w:val="00E808F0"/>
    <w:rsid w:val="00E857F4"/>
    <w:rsid w:val="00E86086"/>
    <w:rsid w:val="00E9106E"/>
    <w:rsid w:val="00E91475"/>
    <w:rsid w:val="00E96954"/>
    <w:rsid w:val="00E96D51"/>
    <w:rsid w:val="00EA1176"/>
    <w:rsid w:val="00EA5ECB"/>
    <w:rsid w:val="00EB2268"/>
    <w:rsid w:val="00EB2F54"/>
    <w:rsid w:val="00EB53DA"/>
    <w:rsid w:val="00EC5F5C"/>
    <w:rsid w:val="00ED542D"/>
    <w:rsid w:val="00EE5F16"/>
    <w:rsid w:val="00EE7A48"/>
    <w:rsid w:val="00EF05B3"/>
    <w:rsid w:val="00F01DA6"/>
    <w:rsid w:val="00F0263E"/>
    <w:rsid w:val="00F141B7"/>
    <w:rsid w:val="00F202BB"/>
    <w:rsid w:val="00F207D0"/>
    <w:rsid w:val="00F23562"/>
    <w:rsid w:val="00F23CED"/>
    <w:rsid w:val="00F26E22"/>
    <w:rsid w:val="00F308D7"/>
    <w:rsid w:val="00F32E0F"/>
    <w:rsid w:val="00F3331B"/>
    <w:rsid w:val="00F33880"/>
    <w:rsid w:val="00F33F92"/>
    <w:rsid w:val="00F34CA3"/>
    <w:rsid w:val="00F45134"/>
    <w:rsid w:val="00F461D0"/>
    <w:rsid w:val="00F46DD1"/>
    <w:rsid w:val="00F54E8A"/>
    <w:rsid w:val="00F60A93"/>
    <w:rsid w:val="00F60B70"/>
    <w:rsid w:val="00F60E07"/>
    <w:rsid w:val="00F65FBF"/>
    <w:rsid w:val="00F711E8"/>
    <w:rsid w:val="00F7148A"/>
    <w:rsid w:val="00F76FD3"/>
    <w:rsid w:val="00F77AFE"/>
    <w:rsid w:val="00F80C8C"/>
    <w:rsid w:val="00F82771"/>
    <w:rsid w:val="00F831A4"/>
    <w:rsid w:val="00F83258"/>
    <w:rsid w:val="00F83CAA"/>
    <w:rsid w:val="00F85833"/>
    <w:rsid w:val="00F86879"/>
    <w:rsid w:val="00FA0678"/>
    <w:rsid w:val="00FB2315"/>
    <w:rsid w:val="00FB278F"/>
    <w:rsid w:val="00FC0A0C"/>
    <w:rsid w:val="00FC40AF"/>
    <w:rsid w:val="00FC424E"/>
    <w:rsid w:val="00FC77FD"/>
    <w:rsid w:val="00FD148B"/>
    <w:rsid w:val="00FD1D98"/>
    <w:rsid w:val="00FD4B93"/>
    <w:rsid w:val="00FF07F4"/>
    <w:rsid w:val="00FF2821"/>
    <w:rsid w:val="00FF42C4"/>
    <w:rsid w:val="00FF5496"/>
    <w:rsid w:val="00FF7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C2A606-CA1E-4389-BEC8-1F21E834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Cabealho1">
    <w:name w:val="heading 1"/>
    <w:basedOn w:val="Normal"/>
    <w:next w:val="Normal"/>
    <w:link w:val="Cabealho1Carcter"/>
    <w:uiPriority w:val="9"/>
    <w:qFormat/>
    <w:rsid w:val="00CE5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6C7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nhideWhenUsed/>
    <w:qFormat/>
    <w:rsid w:val="00F77AFE"/>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nhideWhenUsed/>
    <w:qFormat/>
    <w:rsid w:val="004F12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CE5B7C"/>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6C74C7"/>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rsid w:val="00F77AFE"/>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rsid w:val="004F127D"/>
    <w:rPr>
      <w:rFonts w:asciiTheme="majorHAnsi" w:eastAsiaTheme="majorEastAsia" w:hAnsiTheme="majorHAnsi" w:cstheme="majorBidi"/>
      <w:b/>
      <w:bCs/>
      <w:i/>
      <w:iCs/>
      <w:color w:val="4F81BD" w:themeColor="accent1"/>
    </w:rPr>
  </w:style>
  <w:style w:type="paragraph" w:customStyle="1" w:styleId="Default">
    <w:name w:val="Default"/>
    <w:rsid w:val="00761619"/>
    <w:pPr>
      <w:autoSpaceDE w:val="0"/>
      <w:autoSpaceDN w:val="0"/>
      <w:adjustRightInd w:val="0"/>
      <w:spacing w:after="0" w:line="240" w:lineRule="auto"/>
    </w:pPr>
    <w:rPr>
      <w:rFonts w:ascii="Calibri" w:hAnsi="Calibri" w:cs="Calibri"/>
      <w:color w:val="000000"/>
      <w:sz w:val="24"/>
      <w:szCs w:val="24"/>
    </w:rPr>
  </w:style>
  <w:style w:type="table" w:styleId="Tabelacomgrelha">
    <w:name w:val="Table Grid"/>
    <w:basedOn w:val="Tabelanormal"/>
    <w:uiPriority w:val="59"/>
    <w:rsid w:val="0076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Texto de nota de rodapé Carácter Carácter,Texto de nota de rodapé Carácter Carácter Carácter,Texto de nota de rodapé Carácter Carácter Carácter Carácter,ft,Footnote Text Char Char Char Char Char Char Char Char Char Char,ft2"/>
    <w:basedOn w:val="Normal"/>
    <w:link w:val="TextodenotaderodapCarcter"/>
    <w:uiPriority w:val="99"/>
    <w:unhideWhenUsed/>
    <w:qFormat/>
    <w:rsid w:val="00761619"/>
    <w:pPr>
      <w:spacing w:after="0" w:line="240" w:lineRule="auto"/>
    </w:pPr>
    <w:rPr>
      <w:sz w:val="20"/>
      <w:szCs w:val="20"/>
    </w:rPr>
  </w:style>
  <w:style w:type="character" w:customStyle="1" w:styleId="TextodenotaderodapCarcter">
    <w:name w:val="Texto de nota de rodapé Carácter"/>
    <w:aliases w:val="Texto de nota de rodapé Carácter Carácter Carácter1,Texto de nota de rodapé Carácter Carácter Carácter Carácter1,Texto de nota de rodapé Carácter Carácter Carácter Carácter Carácter,ft Carácter,ft2 Carácter"/>
    <w:basedOn w:val="Tipodeletrapredefinidodopargrafo"/>
    <w:link w:val="Textodenotaderodap"/>
    <w:uiPriority w:val="99"/>
    <w:rsid w:val="00761619"/>
    <w:rPr>
      <w:sz w:val="20"/>
      <w:szCs w:val="20"/>
    </w:rPr>
  </w:style>
  <w:style w:type="character" w:styleId="Refdenotaderodap">
    <w:name w:val="footnote reference"/>
    <w:aliases w:val="ftref,Char Char,Footnote Reference Char Char Char,Carattere Char Carattere Carattere Char Carattere Char Carattere Char Char Char1 Char,Carattere Carattere Char Char Char Carattere Char,16 Poin"/>
    <w:basedOn w:val="Tipodeletrapredefinidodopargrafo"/>
    <w:uiPriority w:val="99"/>
    <w:unhideWhenUsed/>
    <w:qFormat/>
    <w:rsid w:val="00761619"/>
    <w:rPr>
      <w:vertAlign w:val="superscript"/>
    </w:rPr>
  </w:style>
  <w:style w:type="paragraph" w:styleId="PargrafodaLista">
    <w:name w:val="List Paragraph"/>
    <w:basedOn w:val="Normal"/>
    <w:link w:val="PargrafodaListaCarcter"/>
    <w:uiPriority w:val="34"/>
    <w:qFormat/>
    <w:rsid w:val="005028C7"/>
    <w:pPr>
      <w:ind w:left="720"/>
      <w:contextualSpacing/>
    </w:pPr>
  </w:style>
  <w:style w:type="character" w:customStyle="1" w:styleId="PargrafodaListaCarcter">
    <w:name w:val="Parágrafo da Lista Carácter"/>
    <w:basedOn w:val="Tipodeletrapredefinidodopargrafo"/>
    <w:link w:val="PargrafodaLista"/>
    <w:uiPriority w:val="34"/>
    <w:rsid w:val="005202AB"/>
  </w:style>
  <w:style w:type="character" w:styleId="Refdecomentrio">
    <w:name w:val="annotation reference"/>
    <w:basedOn w:val="Tipodeletrapredefinidodopargrafo"/>
    <w:uiPriority w:val="99"/>
    <w:semiHidden/>
    <w:unhideWhenUsed/>
    <w:rsid w:val="00833B5F"/>
    <w:rPr>
      <w:sz w:val="16"/>
      <w:szCs w:val="16"/>
    </w:rPr>
  </w:style>
  <w:style w:type="paragraph" w:styleId="Textodecomentrio">
    <w:name w:val="annotation text"/>
    <w:basedOn w:val="Normal"/>
    <w:link w:val="TextodecomentrioCarcter"/>
    <w:uiPriority w:val="99"/>
    <w:unhideWhenUsed/>
    <w:rsid w:val="00833B5F"/>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833B5F"/>
    <w:rPr>
      <w:sz w:val="20"/>
      <w:szCs w:val="20"/>
    </w:rPr>
  </w:style>
  <w:style w:type="paragraph" w:styleId="Textodebalo">
    <w:name w:val="Balloon Text"/>
    <w:basedOn w:val="Normal"/>
    <w:link w:val="TextodebaloCarcter"/>
    <w:uiPriority w:val="99"/>
    <w:semiHidden/>
    <w:unhideWhenUsed/>
    <w:rsid w:val="00833B5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33B5F"/>
    <w:rPr>
      <w:rFonts w:ascii="Tahoma" w:hAnsi="Tahoma" w:cs="Tahoma"/>
      <w:sz w:val="16"/>
      <w:szCs w:val="16"/>
    </w:rPr>
  </w:style>
  <w:style w:type="paragraph" w:styleId="Assuntodecomentrio">
    <w:name w:val="annotation subject"/>
    <w:basedOn w:val="Textodecomentrio"/>
    <w:next w:val="Textodecomentrio"/>
    <w:link w:val="AssuntodecomentrioCarcter"/>
    <w:uiPriority w:val="99"/>
    <w:semiHidden/>
    <w:unhideWhenUsed/>
    <w:rsid w:val="004D006D"/>
    <w:rPr>
      <w:b/>
      <w:bCs/>
    </w:rPr>
  </w:style>
  <w:style w:type="character" w:customStyle="1" w:styleId="AssuntodecomentrioCarcter">
    <w:name w:val="Assunto de comentário Carácter"/>
    <w:basedOn w:val="TextodecomentrioCarcter"/>
    <w:link w:val="Assuntodecomentrio"/>
    <w:uiPriority w:val="99"/>
    <w:semiHidden/>
    <w:rsid w:val="004D006D"/>
    <w:rPr>
      <w:b/>
      <w:bCs/>
      <w:sz w:val="20"/>
      <w:szCs w:val="20"/>
    </w:rPr>
  </w:style>
  <w:style w:type="character" w:styleId="Hiperligao">
    <w:name w:val="Hyperlink"/>
    <w:basedOn w:val="Tipodeletrapredefinidodopargrafo"/>
    <w:uiPriority w:val="99"/>
    <w:unhideWhenUsed/>
    <w:rsid w:val="004D006D"/>
    <w:rPr>
      <w:color w:val="0000FF" w:themeColor="hyperlink"/>
      <w:u w:val="single"/>
    </w:rPr>
  </w:style>
  <w:style w:type="character" w:customStyle="1" w:styleId="A5">
    <w:name w:val="A5"/>
    <w:uiPriority w:val="99"/>
    <w:rsid w:val="006A507B"/>
    <w:rPr>
      <w:rFonts w:cs="Calibri"/>
      <w:color w:val="000000"/>
      <w:sz w:val="28"/>
      <w:szCs w:val="28"/>
    </w:rPr>
  </w:style>
  <w:style w:type="paragraph" w:customStyle="1" w:styleId="Pa7">
    <w:name w:val="Pa7"/>
    <w:basedOn w:val="Normal"/>
    <w:next w:val="Normal"/>
    <w:uiPriority w:val="99"/>
    <w:rsid w:val="0029748F"/>
    <w:pPr>
      <w:autoSpaceDE w:val="0"/>
      <w:autoSpaceDN w:val="0"/>
      <w:adjustRightInd w:val="0"/>
      <w:spacing w:after="0" w:line="221" w:lineRule="atLeast"/>
    </w:pPr>
    <w:rPr>
      <w:rFonts w:ascii="Calibri" w:hAnsi="Calibri"/>
      <w:sz w:val="24"/>
      <w:szCs w:val="24"/>
    </w:rPr>
  </w:style>
  <w:style w:type="table" w:customStyle="1" w:styleId="Listaclara1">
    <w:name w:val="Lista clara1"/>
    <w:basedOn w:val="Tabelanormal"/>
    <w:uiPriority w:val="61"/>
    <w:rsid w:val="009E40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11">
    <w:name w:val="Lista clara - Énfasis 11"/>
    <w:basedOn w:val="Tabelanormal"/>
    <w:uiPriority w:val="61"/>
    <w:rsid w:val="009E40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bealho">
    <w:name w:val="header"/>
    <w:basedOn w:val="Normal"/>
    <w:link w:val="CabealhoCarcter"/>
    <w:unhideWhenUsed/>
    <w:rsid w:val="00F45134"/>
    <w:pPr>
      <w:tabs>
        <w:tab w:val="center" w:pos="4419"/>
        <w:tab w:val="right" w:pos="8838"/>
      </w:tabs>
      <w:spacing w:after="0" w:line="240" w:lineRule="auto"/>
    </w:pPr>
  </w:style>
  <w:style w:type="character" w:customStyle="1" w:styleId="CabealhoCarcter">
    <w:name w:val="Cabeçalho Carácter"/>
    <w:basedOn w:val="Tipodeletrapredefinidodopargrafo"/>
    <w:link w:val="Cabealho"/>
    <w:rsid w:val="00F45134"/>
  </w:style>
  <w:style w:type="paragraph" w:styleId="Rodap">
    <w:name w:val="footer"/>
    <w:basedOn w:val="Normal"/>
    <w:link w:val="RodapCarcter"/>
    <w:uiPriority w:val="99"/>
    <w:unhideWhenUsed/>
    <w:rsid w:val="00F45134"/>
    <w:pPr>
      <w:tabs>
        <w:tab w:val="center" w:pos="4419"/>
        <w:tab w:val="right" w:pos="8838"/>
      </w:tabs>
      <w:spacing w:after="0" w:line="240" w:lineRule="auto"/>
    </w:pPr>
  </w:style>
  <w:style w:type="character" w:customStyle="1" w:styleId="RodapCarcter">
    <w:name w:val="Rodapé Carácter"/>
    <w:basedOn w:val="Tipodeletrapredefinidodopargrafo"/>
    <w:link w:val="Rodap"/>
    <w:uiPriority w:val="99"/>
    <w:rsid w:val="00F45134"/>
  </w:style>
  <w:style w:type="paragraph" w:styleId="Cabealhodondice">
    <w:name w:val="TOC Heading"/>
    <w:basedOn w:val="Cabealho1"/>
    <w:next w:val="Normal"/>
    <w:uiPriority w:val="39"/>
    <w:semiHidden/>
    <w:unhideWhenUsed/>
    <w:qFormat/>
    <w:rsid w:val="001265F0"/>
    <w:pPr>
      <w:outlineLvl w:val="9"/>
    </w:pPr>
    <w:rPr>
      <w:lang w:val="es-ES"/>
    </w:rPr>
  </w:style>
  <w:style w:type="paragraph" w:styleId="ndice1">
    <w:name w:val="toc 1"/>
    <w:basedOn w:val="Normal"/>
    <w:next w:val="Normal"/>
    <w:autoRedefine/>
    <w:uiPriority w:val="39"/>
    <w:unhideWhenUsed/>
    <w:rsid w:val="001265F0"/>
    <w:pPr>
      <w:spacing w:after="100"/>
    </w:pPr>
  </w:style>
  <w:style w:type="paragraph" w:styleId="ndice2">
    <w:name w:val="toc 2"/>
    <w:basedOn w:val="Normal"/>
    <w:next w:val="Normal"/>
    <w:autoRedefine/>
    <w:uiPriority w:val="39"/>
    <w:unhideWhenUsed/>
    <w:rsid w:val="001265F0"/>
    <w:pPr>
      <w:spacing w:after="100"/>
      <w:ind w:left="220"/>
    </w:pPr>
  </w:style>
  <w:style w:type="paragraph" w:styleId="ndice3">
    <w:name w:val="toc 3"/>
    <w:basedOn w:val="Normal"/>
    <w:next w:val="Normal"/>
    <w:autoRedefine/>
    <w:uiPriority w:val="39"/>
    <w:unhideWhenUsed/>
    <w:rsid w:val="001265F0"/>
    <w:pPr>
      <w:spacing w:after="100"/>
      <w:ind w:left="440"/>
    </w:pPr>
  </w:style>
  <w:style w:type="paragraph" w:styleId="NormalWeb">
    <w:name w:val="Normal (Web)"/>
    <w:basedOn w:val="Normal"/>
    <w:uiPriority w:val="99"/>
    <w:unhideWhenUsed/>
    <w:rsid w:val="002D78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Sombreadomedio2-nfasis11">
    <w:name w:val="Sombreado medio 2 - Énfasis 11"/>
    <w:basedOn w:val="Tabelanormal"/>
    <w:uiPriority w:val="64"/>
    <w:rsid w:val="00724379"/>
    <w:pPr>
      <w:spacing w:after="0" w:line="240" w:lineRule="auto"/>
    </w:pPr>
    <w:rPr>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tulo">
    <w:name w:val="Title"/>
    <w:basedOn w:val="Normal"/>
    <w:next w:val="Normal"/>
    <w:link w:val="TtuloCarcter"/>
    <w:uiPriority w:val="10"/>
    <w:qFormat/>
    <w:rsid w:val="006923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6923F5"/>
    <w:rPr>
      <w:rFonts w:asciiTheme="majorHAnsi" w:eastAsiaTheme="majorEastAsia" w:hAnsiTheme="majorHAnsi" w:cstheme="majorBidi"/>
      <w:color w:val="17365D" w:themeColor="text2" w:themeShade="BF"/>
      <w:spacing w:val="5"/>
      <w:kern w:val="28"/>
      <w:sz w:val="52"/>
      <w:szCs w:val="52"/>
    </w:rPr>
  </w:style>
  <w:style w:type="character" w:customStyle="1" w:styleId="longtext">
    <w:name w:val="long_text"/>
    <w:basedOn w:val="Tipodeletrapredefinidodopargrafo"/>
    <w:rsid w:val="00C334E9"/>
  </w:style>
  <w:style w:type="paragraph" w:styleId="Corpodetexto">
    <w:name w:val="Body Text"/>
    <w:basedOn w:val="Normal"/>
    <w:link w:val="CorpodetextoCarcter"/>
    <w:rsid w:val="004F127D"/>
    <w:pPr>
      <w:spacing w:after="0" w:line="240" w:lineRule="auto"/>
      <w:jc w:val="both"/>
    </w:pPr>
    <w:rPr>
      <w:rFonts w:ascii="Times New Roman" w:eastAsia="Times New Roman" w:hAnsi="Times New Roman" w:cs="Times New Roman"/>
      <w:sz w:val="24"/>
      <w:szCs w:val="20"/>
      <w:lang w:val="en-US"/>
    </w:rPr>
  </w:style>
  <w:style w:type="character" w:customStyle="1" w:styleId="CorpodetextoCarcter">
    <w:name w:val="Corpo de texto Carácter"/>
    <w:basedOn w:val="Tipodeletrapredefinidodopargrafo"/>
    <w:link w:val="Corpodetexto"/>
    <w:rsid w:val="004F127D"/>
    <w:rPr>
      <w:rFonts w:ascii="Times New Roman" w:eastAsia="Times New Roman" w:hAnsi="Times New Roman" w:cs="Times New Roman"/>
      <w:sz w:val="24"/>
      <w:szCs w:val="20"/>
      <w:lang w:val="en-US"/>
    </w:rPr>
  </w:style>
  <w:style w:type="paragraph" w:styleId="Legenda">
    <w:name w:val="caption"/>
    <w:basedOn w:val="Normal"/>
    <w:next w:val="Normal"/>
    <w:uiPriority w:val="35"/>
    <w:unhideWhenUsed/>
    <w:qFormat/>
    <w:rsid w:val="004F127D"/>
    <w:pPr>
      <w:spacing w:line="240" w:lineRule="auto"/>
    </w:pPr>
    <w:rPr>
      <w:rFonts w:ascii="Times New Roman" w:hAnsi="Times New Roman" w:cs="Times New Roman"/>
      <w:b/>
      <w:bCs/>
      <w:color w:val="4F81BD" w:themeColor="accent1"/>
      <w:sz w:val="18"/>
      <w:szCs w:val="18"/>
      <w:lang w:eastAsia="es-EC"/>
    </w:rPr>
  </w:style>
  <w:style w:type="paragraph" w:customStyle="1" w:styleId="sdfootnote-western">
    <w:name w:val="sdfootnote-western"/>
    <w:basedOn w:val="Normal"/>
    <w:rsid w:val="004F127D"/>
    <w:pPr>
      <w:suppressAutoHyphens/>
      <w:spacing w:before="28" w:after="198" w:line="100" w:lineRule="atLeast"/>
    </w:pPr>
    <w:rPr>
      <w:rFonts w:ascii="Calibri" w:eastAsia="Times New Roman" w:hAnsi="Calibri" w:cs="Times New Roman"/>
      <w:sz w:val="24"/>
      <w:szCs w:val="24"/>
      <w:lang w:eastAsia="fr-CH"/>
    </w:rPr>
  </w:style>
  <w:style w:type="paragraph" w:customStyle="1" w:styleId="Pa24">
    <w:name w:val="Pa24"/>
    <w:basedOn w:val="Normal"/>
    <w:next w:val="Normal"/>
    <w:uiPriority w:val="99"/>
    <w:rsid w:val="004F127D"/>
    <w:pPr>
      <w:autoSpaceDE w:val="0"/>
      <w:autoSpaceDN w:val="0"/>
      <w:adjustRightInd w:val="0"/>
      <w:spacing w:after="0" w:line="241" w:lineRule="atLeast"/>
    </w:pPr>
    <w:rPr>
      <w:rFonts w:ascii="Candara" w:hAnsi="Candara"/>
      <w:sz w:val="24"/>
      <w:szCs w:val="24"/>
    </w:rPr>
  </w:style>
  <w:style w:type="table" w:styleId="SombreadoClaro-Cor2">
    <w:name w:val="Light Shading Accent 2"/>
    <w:basedOn w:val="Tabelanormal"/>
    <w:uiPriority w:val="60"/>
    <w:rsid w:val="004F127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dio1-Cor6">
    <w:name w:val="Medium Shading 1 Accent 6"/>
    <w:basedOn w:val="Tabelanormal"/>
    <w:uiPriority w:val="63"/>
    <w:rsid w:val="004F127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dicedeilustraes">
    <w:name w:val="table of figures"/>
    <w:basedOn w:val="Normal"/>
    <w:next w:val="Normal"/>
    <w:uiPriority w:val="99"/>
    <w:unhideWhenUsed/>
    <w:rsid w:val="004F127D"/>
    <w:pPr>
      <w:spacing w:after="0" w:line="240" w:lineRule="auto"/>
    </w:pPr>
    <w:rPr>
      <w:rFonts w:ascii="Times New Roman" w:hAnsi="Times New Roman" w:cs="Times New Roman"/>
      <w:sz w:val="24"/>
      <w:szCs w:val="24"/>
      <w:lang w:eastAsia="es-EC"/>
    </w:rPr>
  </w:style>
  <w:style w:type="table" w:customStyle="1" w:styleId="SombreadoMdio2-Cor11">
    <w:name w:val="Sombreado Médio 2 - Cor 11"/>
    <w:basedOn w:val="Tabelanormal"/>
    <w:uiPriority w:val="64"/>
    <w:rsid w:val="008E6638"/>
    <w:pPr>
      <w:spacing w:after="0" w:line="240" w:lineRule="auto"/>
    </w:pPr>
    <w:rPr>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Tipodeletrapredefinidodopargrafo"/>
    <w:rsid w:val="00103575"/>
  </w:style>
  <w:style w:type="character" w:styleId="nfase">
    <w:name w:val="Emphasis"/>
    <w:uiPriority w:val="20"/>
    <w:qFormat/>
    <w:rsid w:val="001035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7250">
      <w:bodyDiv w:val="1"/>
      <w:marLeft w:val="0"/>
      <w:marRight w:val="0"/>
      <w:marTop w:val="0"/>
      <w:marBottom w:val="0"/>
      <w:divBdr>
        <w:top w:val="none" w:sz="0" w:space="0" w:color="auto"/>
        <w:left w:val="none" w:sz="0" w:space="0" w:color="auto"/>
        <w:bottom w:val="none" w:sz="0" w:space="0" w:color="auto"/>
        <w:right w:val="none" w:sz="0" w:space="0" w:color="auto"/>
      </w:divBdr>
    </w:div>
    <w:div w:id="135488059">
      <w:bodyDiv w:val="1"/>
      <w:marLeft w:val="0"/>
      <w:marRight w:val="0"/>
      <w:marTop w:val="0"/>
      <w:marBottom w:val="0"/>
      <w:divBdr>
        <w:top w:val="none" w:sz="0" w:space="0" w:color="auto"/>
        <w:left w:val="none" w:sz="0" w:space="0" w:color="auto"/>
        <w:bottom w:val="none" w:sz="0" w:space="0" w:color="auto"/>
        <w:right w:val="none" w:sz="0" w:space="0" w:color="auto"/>
      </w:divBdr>
    </w:div>
    <w:div w:id="185099985">
      <w:bodyDiv w:val="1"/>
      <w:marLeft w:val="0"/>
      <w:marRight w:val="0"/>
      <w:marTop w:val="0"/>
      <w:marBottom w:val="0"/>
      <w:divBdr>
        <w:top w:val="none" w:sz="0" w:space="0" w:color="auto"/>
        <w:left w:val="none" w:sz="0" w:space="0" w:color="auto"/>
        <w:bottom w:val="none" w:sz="0" w:space="0" w:color="auto"/>
        <w:right w:val="none" w:sz="0" w:space="0" w:color="auto"/>
      </w:divBdr>
    </w:div>
    <w:div w:id="230384433">
      <w:bodyDiv w:val="1"/>
      <w:marLeft w:val="0"/>
      <w:marRight w:val="0"/>
      <w:marTop w:val="0"/>
      <w:marBottom w:val="0"/>
      <w:divBdr>
        <w:top w:val="none" w:sz="0" w:space="0" w:color="auto"/>
        <w:left w:val="none" w:sz="0" w:space="0" w:color="auto"/>
        <w:bottom w:val="none" w:sz="0" w:space="0" w:color="auto"/>
        <w:right w:val="none" w:sz="0" w:space="0" w:color="auto"/>
      </w:divBdr>
    </w:div>
    <w:div w:id="423377888">
      <w:bodyDiv w:val="1"/>
      <w:marLeft w:val="0"/>
      <w:marRight w:val="0"/>
      <w:marTop w:val="0"/>
      <w:marBottom w:val="0"/>
      <w:divBdr>
        <w:top w:val="none" w:sz="0" w:space="0" w:color="auto"/>
        <w:left w:val="none" w:sz="0" w:space="0" w:color="auto"/>
        <w:bottom w:val="none" w:sz="0" w:space="0" w:color="auto"/>
        <w:right w:val="none" w:sz="0" w:space="0" w:color="auto"/>
      </w:divBdr>
    </w:div>
    <w:div w:id="854269471">
      <w:bodyDiv w:val="1"/>
      <w:marLeft w:val="0"/>
      <w:marRight w:val="0"/>
      <w:marTop w:val="0"/>
      <w:marBottom w:val="0"/>
      <w:divBdr>
        <w:top w:val="none" w:sz="0" w:space="0" w:color="auto"/>
        <w:left w:val="none" w:sz="0" w:space="0" w:color="auto"/>
        <w:bottom w:val="none" w:sz="0" w:space="0" w:color="auto"/>
        <w:right w:val="none" w:sz="0" w:space="0" w:color="auto"/>
      </w:divBdr>
    </w:div>
    <w:div w:id="1001742600">
      <w:bodyDiv w:val="1"/>
      <w:marLeft w:val="0"/>
      <w:marRight w:val="0"/>
      <w:marTop w:val="0"/>
      <w:marBottom w:val="0"/>
      <w:divBdr>
        <w:top w:val="none" w:sz="0" w:space="0" w:color="auto"/>
        <w:left w:val="none" w:sz="0" w:space="0" w:color="auto"/>
        <w:bottom w:val="none" w:sz="0" w:space="0" w:color="auto"/>
        <w:right w:val="none" w:sz="0" w:space="0" w:color="auto"/>
      </w:divBdr>
    </w:div>
    <w:div w:id="1041899587">
      <w:bodyDiv w:val="1"/>
      <w:marLeft w:val="0"/>
      <w:marRight w:val="0"/>
      <w:marTop w:val="0"/>
      <w:marBottom w:val="0"/>
      <w:divBdr>
        <w:top w:val="none" w:sz="0" w:space="0" w:color="auto"/>
        <w:left w:val="none" w:sz="0" w:space="0" w:color="auto"/>
        <w:bottom w:val="none" w:sz="0" w:space="0" w:color="auto"/>
        <w:right w:val="none" w:sz="0" w:space="0" w:color="auto"/>
      </w:divBdr>
    </w:div>
    <w:div w:id="1226531262">
      <w:bodyDiv w:val="1"/>
      <w:marLeft w:val="0"/>
      <w:marRight w:val="0"/>
      <w:marTop w:val="0"/>
      <w:marBottom w:val="0"/>
      <w:divBdr>
        <w:top w:val="none" w:sz="0" w:space="0" w:color="auto"/>
        <w:left w:val="none" w:sz="0" w:space="0" w:color="auto"/>
        <w:bottom w:val="none" w:sz="0" w:space="0" w:color="auto"/>
        <w:right w:val="none" w:sz="0" w:space="0" w:color="auto"/>
      </w:divBdr>
    </w:div>
    <w:div w:id="1328829055">
      <w:bodyDiv w:val="1"/>
      <w:marLeft w:val="0"/>
      <w:marRight w:val="0"/>
      <w:marTop w:val="0"/>
      <w:marBottom w:val="0"/>
      <w:divBdr>
        <w:top w:val="none" w:sz="0" w:space="0" w:color="auto"/>
        <w:left w:val="none" w:sz="0" w:space="0" w:color="auto"/>
        <w:bottom w:val="none" w:sz="0" w:space="0" w:color="auto"/>
        <w:right w:val="none" w:sz="0" w:space="0" w:color="auto"/>
      </w:divBdr>
    </w:div>
    <w:div w:id="1431507930">
      <w:bodyDiv w:val="1"/>
      <w:marLeft w:val="0"/>
      <w:marRight w:val="0"/>
      <w:marTop w:val="0"/>
      <w:marBottom w:val="0"/>
      <w:divBdr>
        <w:top w:val="none" w:sz="0" w:space="0" w:color="auto"/>
        <w:left w:val="none" w:sz="0" w:space="0" w:color="auto"/>
        <w:bottom w:val="none" w:sz="0" w:space="0" w:color="auto"/>
        <w:right w:val="none" w:sz="0" w:space="0" w:color="auto"/>
      </w:divBdr>
    </w:div>
    <w:div w:id="1507867015">
      <w:bodyDiv w:val="1"/>
      <w:marLeft w:val="0"/>
      <w:marRight w:val="0"/>
      <w:marTop w:val="0"/>
      <w:marBottom w:val="0"/>
      <w:divBdr>
        <w:top w:val="none" w:sz="0" w:space="0" w:color="auto"/>
        <w:left w:val="none" w:sz="0" w:space="0" w:color="auto"/>
        <w:bottom w:val="none" w:sz="0" w:space="0" w:color="auto"/>
        <w:right w:val="none" w:sz="0" w:space="0" w:color="auto"/>
      </w:divBdr>
    </w:div>
    <w:div w:id="1579749473">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726903157">
      <w:bodyDiv w:val="1"/>
      <w:marLeft w:val="0"/>
      <w:marRight w:val="0"/>
      <w:marTop w:val="0"/>
      <w:marBottom w:val="0"/>
      <w:divBdr>
        <w:top w:val="none" w:sz="0" w:space="0" w:color="auto"/>
        <w:left w:val="none" w:sz="0" w:space="0" w:color="auto"/>
        <w:bottom w:val="none" w:sz="0" w:space="0" w:color="auto"/>
        <w:right w:val="none" w:sz="0" w:space="0" w:color="auto"/>
      </w:divBdr>
    </w:div>
    <w:div w:id="1737052045">
      <w:bodyDiv w:val="1"/>
      <w:marLeft w:val="0"/>
      <w:marRight w:val="0"/>
      <w:marTop w:val="0"/>
      <w:marBottom w:val="0"/>
      <w:divBdr>
        <w:top w:val="none" w:sz="0" w:space="0" w:color="auto"/>
        <w:left w:val="none" w:sz="0" w:space="0" w:color="auto"/>
        <w:bottom w:val="none" w:sz="0" w:space="0" w:color="auto"/>
        <w:right w:val="none" w:sz="0" w:space="0" w:color="auto"/>
      </w:divBdr>
    </w:div>
    <w:div w:id="1783838426">
      <w:bodyDiv w:val="1"/>
      <w:marLeft w:val="0"/>
      <w:marRight w:val="0"/>
      <w:marTop w:val="0"/>
      <w:marBottom w:val="0"/>
      <w:divBdr>
        <w:top w:val="none" w:sz="0" w:space="0" w:color="auto"/>
        <w:left w:val="none" w:sz="0" w:space="0" w:color="auto"/>
        <w:bottom w:val="none" w:sz="0" w:space="0" w:color="auto"/>
        <w:right w:val="none" w:sz="0" w:space="0" w:color="auto"/>
      </w:divBdr>
    </w:div>
    <w:div w:id="1857618751">
      <w:bodyDiv w:val="1"/>
      <w:marLeft w:val="0"/>
      <w:marRight w:val="0"/>
      <w:marTop w:val="0"/>
      <w:marBottom w:val="0"/>
      <w:divBdr>
        <w:top w:val="none" w:sz="0" w:space="0" w:color="auto"/>
        <w:left w:val="none" w:sz="0" w:space="0" w:color="auto"/>
        <w:bottom w:val="none" w:sz="0" w:space="0" w:color="auto"/>
        <w:right w:val="none" w:sz="0" w:space="0" w:color="auto"/>
      </w:divBdr>
    </w:div>
    <w:div w:id="20481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diagramData" Target="diagrams/data3.xml"/><Relationship Id="rId42" Type="http://schemas.openxmlformats.org/officeDocument/2006/relationships/chart" Target="charts/chart16.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image" Target="media/image4.emf"/><Relationship Id="rId38" Type="http://schemas.microsoft.com/office/2007/relationships/diagramDrawing" Target="diagrams/drawing2.xml"/><Relationship Id="rId46"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diagramData" Target="diagrams/data2.xml"/><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8.xml"/><Relationship Id="rId32" Type="http://schemas.openxmlformats.org/officeDocument/2006/relationships/image" Target="media/image3.emf"/><Relationship Id="rId37" Type="http://schemas.openxmlformats.org/officeDocument/2006/relationships/diagramColors" Target="diagrams/colors2.xml"/><Relationship Id="rId40" Type="http://schemas.openxmlformats.org/officeDocument/2006/relationships/footer" Target="footer3.xml"/><Relationship Id="rId45" Type="http://schemas.openxmlformats.org/officeDocument/2006/relationships/hyperlink" Target="http://www.adei.cv/"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diagramQuickStyle" Target="diagrams/quickStyle2.xml"/><Relationship Id="rId10" Type="http://schemas.openxmlformats.org/officeDocument/2006/relationships/package" Target="embeddings/Microsoft_PowerPoint_Slide.sldx"/><Relationship Id="rId19" Type="http://schemas.openxmlformats.org/officeDocument/2006/relationships/chart" Target="charts/chart3.xml"/><Relationship Id="rId31" Type="http://schemas.openxmlformats.org/officeDocument/2006/relationships/footer" Target="footer2.xml"/><Relationship Id="rId44"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Colors" Target="diagrams/colors1.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diagramLayout" Target="diagrams/layout2.xml"/><Relationship Id="rId43" Type="http://schemas.openxmlformats.org/officeDocument/2006/relationships/chart" Target="charts/chart17.xm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Dados_diagn&#243;stico_PNIG.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KK\Documents\CV%20&amp;%20concursos\Beijing_OMD3\ODM3\Elei&#231;&#245;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Finaliza&#231;&#227;o\grafico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Finaliza&#231;&#227;o\grafico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Finaliza&#231;&#227;o\grafico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Livro2"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AQUEL\Dropbox\2014%20PIO%20Cabo%20Verde\3_4%20Elementos%20construccion%20PNIG\Matrices%20operativas\Matrices%20operativas%20V5%20or&#231;amento%20complet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RAQUEL\Dropbox\2014%20PIO%20Cabo%20Verde\3_4%20Elementos%20construccion%20PNIG\Matrices%20operativas\Matrices%20operativas%20V5%20or&#231;amento%20complet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AQUEL\Dropbox\2014%20PIO%20Cabo%20Verde\3_4%20Elementos%20construccion%20PNIG\Matrices%20operativas\Matrices%20operativas%20V5%20or&#231;amento%20complet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RAQUEL\Dropbox\2014%20PIO%20Cabo%20Verde\3_4%20Elementos%20construccion%20PNIG\Matrices%20operativas\Matrices%20operativas%20V5%20or&#231;amento%20comple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Dados_diagn&#243;stico_PNIG.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Finaliza&#231;&#227;o\gra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Dados_diagn&#243;stico_PNI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KK\Documents\CV%20&amp;%20concursos\Beijing_OMD3\ODM3\Docs\Educa&#231;&#227;o\C&#243;pia%20de%20Educa&#231;&#227;o%20Maritza15%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Finaliza&#231;&#227;o\gra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KK\Documents\CV%20&amp;%20concursos\PNIG_UNFPA\Diagn&#243;stico\Finaliza&#231;&#227;o\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332415868067546E-2"/>
          <c:y val="6.9683359963916933E-2"/>
          <c:w val="0.89355402449692956"/>
          <c:h val="0.79107650606174229"/>
        </c:manualLayout>
      </c:layout>
      <c:barChart>
        <c:barDir val="col"/>
        <c:grouping val="clustered"/>
        <c:varyColors val="0"/>
        <c:ser>
          <c:idx val="0"/>
          <c:order val="0"/>
          <c:tx>
            <c:strRef>
              <c:f>População!$D$143</c:f>
              <c:strCache>
                <c:ptCount val="1"/>
                <c:pt idx="0">
                  <c:v>Total</c:v>
                </c:pt>
              </c:strCache>
            </c:strRef>
          </c:tx>
          <c:spPr>
            <a:solidFill>
              <a:schemeClr val="accent3">
                <a:lumMod val="40000"/>
                <a:lumOff val="60000"/>
              </a:schemeClr>
            </a:solidFill>
          </c:spPr>
          <c:invertIfNegative val="0"/>
          <c:dLbls>
            <c:dLbl>
              <c:idx val="0"/>
              <c:layout>
                <c:manualLayout>
                  <c:x val="-9.3403385872738026E-3"/>
                  <c:y val="1.8281535648994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A7-46DD-A93C-A1B8881738C0}"/>
                </c:ext>
              </c:extLst>
            </c:dLbl>
            <c:dLbl>
              <c:idx val="1"/>
              <c:layout>
                <c:manualLayout>
                  <c:x val="-9.3401273566815161E-3"/>
                  <c:y val="1.8281097057750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A7-46DD-A93C-A1B8881738C0}"/>
                </c:ext>
              </c:extLst>
            </c:dLbl>
            <c:dLbl>
              <c:idx val="2"/>
              <c:layout>
                <c:manualLayout>
                  <c:x val="-9.3401273566815161E-3"/>
                  <c:y val="1.218739803850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A7-46DD-A93C-A1B8881738C0}"/>
                </c:ext>
              </c:extLst>
            </c:dLbl>
            <c:dLbl>
              <c:idx val="3"/>
              <c:layout>
                <c:manualLayout>
                  <c:x val="-4.6700636783408534E-3"/>
                  <c:y val="1.8281097057750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A7-46DD-A93C-A1B8881738C0}"/>
                </c:ext>
              </c:extLst>
            </c:dLbl>
            <c:dLbl>
              <c:idx val="4"/>
              <c:layout>
                <c:manualLayout>
                  <c:x val="-2.3350318391703608E-3"/>
                  <c:y val="1.218739803850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A7-46DD-A93C-A1B8881738C0}"/>
                </c:ext>
              </c:extLst>
            </c:dLbl>
            <c:dLbl>
              <c:idx val="5"/>
              <c:layout>
                <c:manualLayout>
                  <c:x val="-4.6700636783407424E-3"/>
                  <c:y val="2.4374796077001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A7-46DD-A93C-A1B8881738C0}"/>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População!$C$144:$C$150</c:f>
              <c:strCache>
                <c:ptCount val="7"/>
                <c:pt idx="0">
                  <c:v>Unipessoal</c:v>
                </c:pt>
                <c:pt idx="1">
                  <c:v>Casais isolados</c:v>
                </c:pt>
                <c:pt idx="2">
                  <c:v>Casais isolados c/ filhos</c:v>
                </c:pt>
                <c:pt idx="3">
                  <c:v>Conjugais compósito</c:v>
                </c:pt>
                <c:pt idx="4">
                  <c:v> Monoparental</c:v>
                </c:pt>
                <c:pt idx="5">
                  <c:v>Não conjugais compósito</c:v>
                </c:pt>
                <c:pt idx="6">
                  <c:v> Sem relação de parentesco</c:v>
                </c:pt>
              </c:strCache>
            </c:strRef>
          </c:cat>
          <c:val>
            <c:numRef>
              <c:f>População!$D$144:$D$150</c:f>
              <c:numCache>
                <c:formatCode>#,##0</c:formatCode>
                <c:ptCount val="7"/>
                <c:pt idx="0">
                  <c:v>15.121622658561332</c:v>
                </c:pt>
                <c:pt idx="1">
                  <c:v>4.7856150193112743</c:v>
                </c:pt>
                <c:pt idx="2">
                  <c:v>23.424191526912157</c:v>
                </c:pt>
                <c:pt idx="3">
                  <c:v>17.019498844733889</c:v>
                </c:pt>
                <c:pt idx="4">
                  <c:v>14.310804934819124</c:v>
                </c:pt>
                <c:pt idx="5">
                  <c:v>23.81894295287708</c:v>
                </c:pt>
                <c:pt idx="6">
                  <c:v>1.1603816214649285</c:v>
                </c:pt>
              </c:numCache>
            </c:numRef>
          </c:val>
          <c:extLst>
            <c:ext xmlns:c16="http://schemas.microsoft.com/office/drawing/2014/chart" uri="{C3380CC4-5D6E-409C-BE32-E72D297353CC}">
              <c16:uniqueId val="{00000006-9DA7-46DD-A93C-A1B8881738C0}"/>
            </c:ext>
          </c:extLst>
        </c:ser>
        <c:ser>
          <c:idx val="1"/>
          <c:order val="1"/>
          <c:tx>
            <c:strRef>
              <c:f>População!$E$143</c:f>
              <c:strCache>
                <c:ptCount val="1"/>
                <c:pt idx="0">
                  <c:v>Masculino</c:v>
                </c:pt>
              </c:strCache>
            </c:strRef>
          </c:tx>
          <c:spPr>
            <a:solidFill>
              <a:schemeClr val="bg2">
                <a:lumMod val="75000"/>
              </a:schemeClr>
            </a:solidFill>
          </c:spPr>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População!$C$144:$C$150</c:f>
              <c:strCache>
                <c:ptCount val="7"/>
                <c:pt idx="0">
                  <c:v>Unipessoal</c:v>
                </c:pt>
                <c:pt idx="1">
                  <c:v>Casais isolados</c:v>
                </c:pt>
                <c:pt idx="2">
                  <c:v>Casais isolados c/ filhos</c:v>
                </c:pt>
                <c:pt idx="3">
                  <c:v>Conjugais compósito</c:v>
                </c:pt>
                <c:pt idx="4">
                  <c:v> Monoparental</c:v>
                </c:pt>
                <c:pt idx="5">
                  <c:v>Não conjugais compósito</c:v>
                </c:pt>
                <c:pt idx="6">
                  <c:v> Sem relação de parentesco</c:v>
                </c:pt>
              </c:strCache>
            </c:strRef>
          </c:cat>
          <c:val>
            <c:numRef>
              <c:f>População!$E$144:$E$150</c:f>
              <c:numCache>
                <c:formatCode>#,##0</c:formatCode>
                <c:ptCount val="7"/>
                <c:pt idx="0">
                  <c:v>19.701834862385319</c:v>
                </c:pt>
                <c:pt idx="1">
                  <c:v>6.9069462647444304</c:v>
                </c:pt>
                <c:pt idx="2">
                  <c:v>33.09141546526795</c:v>
                </c:pt>
                <c:pt idx="3">
                  <c:v>23.905635648754789</c:v>
                </c:pt>
                <c:pt idx="4">
                  <c:v>3.5992791612057577</c:v>
                </c:pt>
                <c:pt idx="5">
                  <c:v>11.284403669724771</c:v>
                </c:pt>
                <c:pt idx="6">
                  <c:v>1.5104849279161205</c:v>
                </c:pt>
              </c:numCache>
            </c:numRef>
          </c:val>
          <c:extLst>
            <c:ext xmlns:c16="http://schemas.microsoft.com/office/drawing/2014/chart" uri="{C3380CC4-5D6E-409C-BE32-E72D297353CC}">
              <c16:uniqueId val="{00000007-9DA7-46DD-A93C-A1B8881738C0}"/>
            </c:ext>
          </c:extLst>
        </c:ser>
        <c:ser>
          <c:idx val="2"/>
          <c:order val="2"/>
          <c:tx>
            <c:strRef>
              <c:f>População!$F$143</c:f>
              <c:strCache>
                <c:ptCount val="1"/>
                <c:pt idx="0">
                  <c:v>Feminino</c:v>
                </c:pt>
              </c:strCache>
            </c:strRef>
          </c:tx>
          <c:spPr>
            <a:solidFill>
              <a:schemeClr val="accent6">
                <a:lumMod val="75000"/>
              </a:schemeClr>
            </a:solidFill>
          </c:spPr>
          <c:invertIfNegative val="0"/>
          <c:dLbls>
            <c:dLbl>
              <c:idx val="0"/>
              <c:layout>
                <c:manualLayout>
                  <c:x val="4.6700636783407034E-3"/>
                  <c:y val="2.4374796077001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A7-46DD-A93C-A1B8881738C0}"/>
                </c:ext>
              </c:extLst>
            </c:dLbl>
            <c:dLbl>
              <c:idx val="1"/>
              <c:layout>
                <c:manualLayout>
                  <c:x val="9.3401273566814727E-3"/>
                  <c:y val="1.8281097057751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A7-46DD-A93C-A1B8881738C0}"/>
                </c:ext>
              </c:extLst>
            </c:dLbl>
            <c:dLbl>
              <c:idx val="3"/>
              <c:layout>
                <c:manualLayout>
                  <c:x val="7.0050955175110906E-3"/>
                  <c:y val="1.218739803850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DA7-46DD-A93C-A1B8881738C0}"/>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População!$C$144:$C$150</c:f>
              <c:strCache>
                <c:ptCount val="7"/>
                <c:pt idx="0">
                  <c:v>Unipessoal</c:v>
                </c:pt>
                <c:pt idx="1">
                  <c:v>Casais isolados</c:v>
                </c:pt>
                <c:pt idx="2">
                  <c:v>Casais isolados c/ filhos</c:v>
                </c:pt>
                <c:pt idx="3">
                  <c:v>Conjugais compósito</c:v>
                </c:pt>
                <c:pt idx="4">
                  <c:v> Monoparental</c:v>
                </c:pt>
                <c:pt idx="5">
                  <c:v>Não conjugais compósito</c:v>
                </c:pt>
                <c:pt idx="6">
                  <c:v> Sem relação de parentesco</c:v>
                </c:pt>
              </c:strCache>
            </c:strRef>
          </c:cat>
          <c:val>
            <c:numRef>
              <c:f>População!$F$144:$F$150</c:f>
              <c:numCache>
                <c:formatCode>#,##0</c:formatCode>
                <c:ptCount val="7"/>
                <c:pt idx="0">
                  <c:v>10.236798738984023</c:v>
                </c:pt>
                <c:pt idx="1">
                  <c:v>2.5023285806405391</c:v>
                </c:pt>
                <c:pt idx="2">
                  <c:v>13.031095507630548</c:v>
                </c:pt>
                <c:pt idx="3">
                  <c:v>9.6188292613025439</c:v>
                </c:pt>
                <c:pt idx="4">
                  <c:v>26.13025721859999</c:v>
                </c:pt>
                <c:pt idx="5">
                  <c:v>37.703303002078478</c:v>
                </c:pt>
                <c:pt idx="6">
                  <c:v>0.78634377015117873</c:v>
                </c:pt>
              </c:numCache>
            </c:numRef>
          </c:val>
          <c:extLst>
            <c:ext xmlns:c16="http://schemas.microsoft.com/office/drawing/2014/chart" uri="{C3380CC4-5D6E-409C-BE32-E72D297353CC}">
              <c16:uniqueId val="{0000000B-9DA7-46DD-A93C-A1B8881738C0}"/>
            </c:ext>
          </c:extLst>
        </c:ser>
        <c:dLbls>
          <c:showLegendKey val="0"/>
          <c:showVal val="0"/>
          <c:showCatName val="0"/>
          <c:showSerName val="0"/>
          <c:showPercent val="0"/>
          <c:showBubbleSize val="0"/>
        </c:dLbls>
        <c:gapWidth val="150"/>
        <c:axId val="266736640"/>
        <c:axId val="266491520"/>
      </c:barChart>
      <c:catAx>
        <c:axId val="266736640"/>
        <c:scaling>
          <c:orientation val="minMax"/>
        </c:scaling>
        <c:delete val="0"/>
        <c:axPos val="b"/>
        <c:numFmt formatCode="General" sourceLinked="0"/>
        <c:majorTickMark val="out"/>
        <c:minorTickMark val="none"/>
        <c:tickLblPos val="nextTo"/>
        <c:txPr>
          <a:bodyPr/>
          <a:lstStyle/>
          <a:p>
            <a:pPr>
              <a:defRPr sz="600"/>
            </a:pPr>
            <a:endParaRPr lang="pt-PT"/>
          </a:p>
        </c:txPr>
        <c:crossAx val="266491520"/>
        <c:crosses val="autoZero"/>
        <c:auto val="1"/>
        <c:lblAlgn val="ctr"/>
        <c:lblOffset val="100"/>
        <c:noMultiLvlLbl val="0"/>
      </c:catAx>
      <c:valAx>
        <c:axId val="266491520"/>
        <c:scaling>
          <c:orientation val="minMax"/>
        </c:scaling>
        <c:delete val="1"/>
        <c:axPos val="l"/>
        <c:numFmt formatCode="#,##0" sourceLinked="1"/>
        <c:majorTickMark val="out"/>
        <c:minorTickMark val="none"/>
        <c:tickLblPos val="none"/>
        <c:crossAx val="266736640"/>
        <c:crosses val="autoZero"/>
        <c:crossBetween val="between"/>
      </c:valAx>
    </c:plotArea>
    <c:legend>
      <c:legendPos val="r"/>
      <c:layout>
        <c:manualLayout>
          <c:xMode val="edge"/>
          <c:yMode val="edge"/>
          <c:x val="4.3145291770035517E-3"/>
          <c:y val="2.7201808107320841E-2"/>
          <c:w val="0.16191748009611276"/>
          <c:h val="0.25779897510699962"/>
        </c:manualLayout>
      </c:layout>
      <c:overlay val="0"/>
      <c:txPr>
        <a:bodyPr/>
        <a:lstStyle/>
        <a:p>
          <a:pPr>
            <a:defRPr sz="800"/>
          </a:pPr>
          <a:endParaRPr lang="pt-PT"/>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48806540714899E-2"/>
          <c:y val="5.1400554097404488E-2"/>
          <c:w val="0.88204561741341769"/>
          <c:h val="0.8326195683872849"/>
        </c:manualLayout>
      </c:layout>
      <c:lineChart>
        <c:grouping val="standard"/>
        <c:varyColors val="0"/>
        <c:ser>
          <c:idx val="0"/>
          <c:order val="0"/>
          <c:tx>
            <c:strRef>
              <c:f>'Gráficos ODM1'!$B$12</c:f>
              <c:strCache>
                <c:ptCount val="1"/>
                <c:pt idx="0">
                  <c:v>Total</c:v>
                </c:pt>
              </c:strCache>
            </c:strRef>
          </c:tx>
          <c:cat>
            <c:numRef>
              <c:f>'Gráficos ODM1'!$C$11:$J$11</c:f>
              <c:numCache>
                <c:formatCode>General</c:formatCode>
                <c:ptCount val="8"/>
                <c:pt idx="0">
                  <c:v>2000</c:v>
                </c:pt>
                <c:pt idx="1">
                  <c:v>2002</c:v>
                </c:pt>
                <c:pt idx="2">
                  <c:v>2005</c:v>
                </c:pt>
                <c:pt idx="3">
                  <c:v>2006</c:v>
                </c:pt>
                <c:pt idx="4">
                  <c:v>2007</c:v>
                </c:pt>
                <c:pt idx="5">
                  <c:v>2008</c:v>
                </c:pt>
                <c:pt idx="6">
                  <c:v>2009</c:v>
                </c:pt>
                <c:pt idx="7" formatCode="0">
                  <c:v>2010</c:v>
                </c:pt>
              </c:numCache>
            </c:numRef>
          </c:cat>
          <c:val>
            <c:numRef>
              <c:f>'Gráficos ODM1'!$C$12:$J$12</c:f>
              <c:numCache>
                <c:formatCode>0.0</c:formatCode>
                <c:ptCount val="8"/>
                <c:pt idx="0">
                  <c:v>42.107790181250749</c:v>
                </c:pt>
                <c:pt idx="1">
                  <c:v>38.505536139093657</c:v>
                </c:pt>
                <c:pt idx="2">
                  <c:v>31.610450473427491</c:v>
                </c:pt>
                <c:pt idx="3">
                  <c:v>35.172411471384976</c:v>
                </c:pt>
                <c:pt idx="4">
                  <c:v>29.242850669671732</c:v>
                </c:pt>
                <c:pt idx="5">
                  <c:v>31.85153186089153</c:v>
                </c:pt>
                <c:pt idx="6">
                  <c:v>22.794642924580963</c:v>
                </c:pt>
                <c:pt idx="7">
                  <c:v>28.041647630811529</c:v>
                </c:pt>
              </c:numCache>
            </c:numRef>
          </c:val>
          <c:smooth val="0"/>
          <c:extLst>
            <c:ext xmlns:c16="http://schemas.microsoft.com/office/drawing/2014/chart" uri="{C3380CC4-5D6E-409C-BE32-E72D297353CC}">
              <c16:uniqueId val="{00000000-0A3C-4BA2-B0BB-9E0DE6D9F4E5}"/>
            </c:ext>
          </c:extLst>
        </c:ser>
        <c:ser>
          <c:idx val="1"/>
          <c:order val="1"/>
          <c:tx>
            <c:strRef>
              <c:f>'Gráficos ODM1'!$B$13</c:f>
              <c:strCache>
                <c:ptCount val="1"/>
                <c:pt idx="0">
                  <c:v>Mulheres</c:v>
                </c:pt>
              </c:strCache>
            </c:strRef>
          </c:tx>
          <c:dLbls>
            <c:dLbl>
              <c:idx val="2"/>
              <c:delete val="1"/>
              <c:extLst>
                <c:ext xmlns:c15="http://schemas.microsoft.com/office/drawing/2012/chart" uri="{CE6537A1-D6FC-4f65-9D91-7224C49458BB}"/>
                <c:ext xmlns:c16="http://schemas.microsoft.com/office/drawing/2014/chart" uri="{C3380CC4-5D6E-409C-BE32-E72D297353CC}">
                  <c16:uniqueId val="{00000001-0A3C-4BA2-B0BB-9E0DE6D9F4E5}"/>
                </c:ext>
              </c:extLst>
            </c:dLbl>
            <c:dLbl>
              <c:idx val="3"/>
              <c:delete val="1"/>
              <c:extLst>
                <c:ext xmlns:c15="http://schemas.microsoft.com/office/drawing/2012/chart" uri="{CE6537A1-D6FC-4f65-9D91-7224C49458BB}"/>
                <c:ext xmlns:c16="http://schemas.microsoft.com/office/drawing/2014/chart" uri="{C3380CC4-5D6E-409C-BE32-E72D297353CC}">
                  <c16:uniqueId val="{00000002-0A3C-4BA2-B0BB-9E0DE6D9F4E5}"/>
                </c:ext>
              </c:extLst>
            </c:dLbl>
            <c:dLbl>
              <c:idx val="4"/>
              <c:delete val="1"/>
              <c:extLst>
                <c:ext xmlns:c15="http://schemas.microsoft.com/office/drawing/2012/chart" uri="{CE6537A1-D6FC-4f65-9D91-7224C49458BB}"/>
                <c:ext xmlns:c16="http://schemas.microsoft.com/office/drawing/2014/chart" uri="{C3380CC4-5D6E-409C-BE32-E72D297353CC}">
                  <c16:uniqueId val="{00000003-0A3C-4BA2-B0BB-9E0DE6D9F4E5}"/>
                </c:ext>
              </c:extLst>
            </c:dLbl>
            <c:dLbl>
              <c:idx val="5"/>
              <c:delete val="1"/>
              <c:extLst>
                <c:ext xmlns:c15="http://schemas.microsoft.com/office/drawing/2012/chart" uri="{CE6537A1-D6FC-4f65-9D91-7224C49458BB}"/>
                <c:ext xmlns:c16="http://schemas.microsoft.com/office/drawing/2014/chart" uri="{C3380CC4-5D6E-409C-BE32-E72D297353CC}">
                  <c16:uniqueId val="{00000004-0A3C-4BA2-B0BB-9E0DE6D9F4E5}"/>
                </c:ext>
              </c:extLst>
            </c:dLbl>
            <c:dLbl>
              <c:idx val="6"/>
              <c:layout>
                <c:manualLayout>
                  <c:x val="-5.8333333333334333E-2"/>
                  <c:y val="-8.7962962962963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3C-4BA2-B0BB-9E0DE6D9F4E5}"/>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'Gráficos ODM1'!$C$11:$J$11</c:f>
              <c:numCache>
                <c:formatCode>General</c:formatCode>
                <c:ptCount val="8"/>
                <c:pt idx="0">
                  <c:v>2000</c:v>
                </c:pt>
                <c:pt idx="1">
                  <c:v>2002</c:v>
                </c:pt>
                <c:pt idx="2">
                  <c:v>2005</c:v>
                </c:pt>
                <c:pt idx="3">
                  <c:v>2006</c:v>
                </c:pt>
                <c:pt idx="4">
                  <c:v>2007</c:v>
                </c:pt>
                <c:pt idx="5">
                  <c:v>2008</c:v>
                </c:pt>
                <c:pt idx="6">
                  <c:v>2009</c:v>
                </c:pt>
                <c:pt idx="7" formatCode="0">
                  <c:v>2010</c:v>
                </c:pt>
              </c:numCache>
            </c:numRef>
          </c:cat>
          <c:val>
            <c:numRef>
              <c:f>'Gráficos ODM1'!$C$13:$J$13</c:f>
              <c:numCache>
                <c:formatCode>0.0</c:formatCode>
                <c:ptCount val="8"/>
                <c:pt idx="0">
                  <c:v>56.444437201570977</c:v>
                </c:pt>
                <c:pt idx="1">
                  <c:v>45.054571913655096</c:v>
                </c:pt>
                <c:pt idx="2">
                  <c:v>35.123981094595521</c:v>
                </c:pt>
                <c:pt idx="3">
                  <c:v>39.632951637292344</c:v>
                </c:pt>
                <c:pt idx="4">
                  <c:v>35.568423732214306</c:v>
                </c:pt>
                <c:pt idx="5">
                  <c:v>35.265260196135934</c:v>
                </c:pt>
                <c:pt idx="6">
                  <c:v>29.811511408603391</c:v>
                </c:pt>
                <c:pt idx="7">
                  <c:v>40.692808693011166</c:v>
                </c:pt>
              </c:numCache>
            </c:numRef>
          </c:val>
          <c:smooth val="0"/>
          <c:extLst>
            <c:ext xmlns:c16="http://schemas.microsoft.com/office/drawing/2014/chart" uri="{C3380CC4-5D6E-409C-BE32-E72D297353CC}">
              <c16:uniqueId val="{00000006-0A3C-4BA2-B0BB-9E0DE6D9F4E5}"/>
            </c:ext>
          </c:extLst>
        </c:ser>
        <c:ser>
          <c:idx val="2"/>
          <c:order val="2"/>
          <c:tx>
            <c:strRef>
              <c:f>'Gráficos ODM1'!$B$14</c:f>
              <c:strCache>
                <c:ptCount val="1"/>
                <c:pt idx="0">
                  <c:v>Homens</c:v>
                </c:pt>
              </c:strCache>
            </c:strRef>
          </c:tx>
          <c:dLbls>
            <c:dLbl>
              <c:idx val="0"/>
              <c:layout>
                <c:manualLayout>
                  <c:x val="-3.6111111111111212E-2"/>
                  <c:y val="8.7962962962963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3C-4BA2-B0BB-9E0DE6D9F4E5}"/>
                </c:ext>
              </c:extLst>
            </c:dLbl>
            <c:dLbl>
              <c:idx val="1"/>
              <c:delete val="1"/>
              <c:extLst>
                <c:ext xmlns:c15="http://schemas.microsoft.com/office/drawing/2012/chart" uri="{CE6537A1-D6FC-4f65-9D91-7224C49458BB}"/>
                <c:ext xmlns:c16="http://schemas.microsoft.com/office/drawing/2014/chart" uri="{C3380CC4-5D6E-409C-BE32-E72D297353CC}">
                  <c16:uniqueId val="{00000008-0A3C-4BA2-B0BB-9E0DE6D9F4E5}"/>
                </c:ext>
              </c:extLst>
            </c:dLbl>
            <c:dLbl>
              <c:idx val="2"/>
              <c:delete val="1"/>
              <c:extLst>
                <c:ext xmlns:c15="http://schemas.microsoft.com/office/drawing/2012/chart" uri="{CE6537A1-D6FC-4f65-9D91-7224C49458BB}"/>
                <c:ext xmlns:c16="http://schemas.microsoft.com/office/drawing/2014/chart" uri="{C3380CC4-5D6E-409C-BE32-E72D297353CC}">
                  <c16:uniqueId val="{00000009-0A3C-4BA2-B0BB-9E0DE6D9F4E5}"/>
                </c:ext>
              </c:extLst>
            </c:dLbl>
            <c:dLbl>
              <c:idx val="3"/>
              <c:delete val="1"/>
              <c:extLst>
                <c:ext xmlns:c15="http://schemas.microsoft.com/office/drawing/2012/chart" uri="{CE6537A1-D6FC-4f65-9D91-7224C49458BB}"/>
                <c:ext xmlns:c16="http://schemas.microsoft.com/office/drawing/2014/chart" uri="{C3380CC4-5D6E-409C-BE32-E72D297353CC}">
                  <c16:uniqueId val="{0000000A-0A3C-4BA2-B0BB-9E0DE6D9F4E5}"/>
                </c:ext>
              </c:extLst>
            </c:dLbl>
            <c:dLbl>
              <c:idx val="4"/>
              <c:delete val="1"/>
              <c:extLst>
                <c:ext xmlns:c15="http://schemas.microsoft.com/office/drawing/2012/chart" uri="{CE6537A1-D6FC-4f65-9D91-7224C49458BB}"/>
                <c:ext xmlns:c16="http://schemas.microsoft.com/office/drawing/2014/chart" uri="{C3380CC4-5D6E-409C-BE32-E72D297353CC}">
                  <c16:uniqueId val="{0000000B-0A3C-4BA2-B0BB-9E0DE6D9F4E5}"/>
                </c:ext>
              </c:extLst>
            </c:dLbl>
            <c:dLbl>
              <c:idx val="5"/>
              <c:delete val="1"/>
              <c:extLst>
                <c:ext xmlns:c15="http://schemas.microsoft.com/office/drawing/2012/chart" uri="{CE6537A1-D6FC-4f65-9D91-7224C49458BB}"/>
                <c:ext xmlns:c16="http://schemas.microsoft.com/office/drawing/2014/chart" uri="{C3380CC4-5D6E-409C-BE32-E72D297353CC}">
                  <c16:uniqueId val="{0000000C-0A3C-4BA2-B0BB-9E0DE6D9F4E5}"/>
                </c:ext>
              </c:extLst>
            </c:dLbl>
            <c:dLbl>
              <c:idx val="6"/>
              <c:layout>
                <c:manualLayout>
                  <c:x val="-6.1111111111111123E-2"/>
                  <c:y val="8.3333333333333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A3C-4BA2-B0BB-9E0DE6D9F4E5}"/>
                </c:ext>
              </c:extLst>
            </c:dLbl>
            <c:dLbl>
              <c:idx val="7"/>
              <c:layout>
                <c:manualLayout>
                  <c:x val="-5.2777777777777792E-2"/>
                  <c:y val="0.101851851851851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A3C-4BA2-B0BB-9E0DE6D9F4E5}"/>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'Gráficos ODM1'!$C$11:$J$11</c:f>
              <c:numCache>
                <c:formatCode>General</c:formatCode>
                <c:ptCount val="8"/>
                <c:pt idx="0">
                  <c:v>2000</c:v>
                </c:pt>
                <c:pt idx="1">
                  <c:v>2002</c:v>
                </c:pt>
                <c:pt idx="2">
                  <c:v>2005</c:v>
                </c:pt>
                <c:pt idx="3">
                  <c:v>2006</c:v>
                </c:pt>
                <c:pt idx="4">
                  <c:v>2007</c:v>
                </c:pt>
                <c:pt idx="5">
                  <c:v>2008</c:v>
                </c:pt>
                <c:pt idx="6">
                  <c:v>2009</c:v>
                </c:pt>
                <c:pt idx="7" formatCode="0">
                  <c:v>2010</c:v>
                </c:pt>
              </c:numCache>
            </c:numRef>
          </c:cat>
          <c:val>
            <c:numRef>
              <c:f>'Gráficos ODM1'!$C$14:$J$14</c:f>
              <c:numCache>
                <c:formatCode>0.0</c:formatCode>
                <c:ptCount val="8"/>
                <c:pt idx="0">
                  <c:v>29.877802955528061</c:v>
                </c:pt>
                <c:pt idx="1">
                  <c:v>33.058062433591999</c:v>
                </c:pt>
                <c:pt idx="2">
                  <c:v>28.572064915588946</c:v>
                </c:pt>
                <c:pt idx="3">
                  <c:v>32.530825072339788</c:v>
                </c:pt>
                <c:pt idx="4">
                  <c:v>25.296376556475089</c:v>
                </c:pt>
                <c:pt idx="5">
                  <c:v>27.674870090475991</c:v>
                </c:pt>
                <c:pt idx="6">
                  <c:v>16.824495747429093</c:v>
                </c:pt>
                <c:pt idx="7">
                  <c:v>21.689217239538689</c:v>
                </c:pt>
              </c:numCache>
            </c:numRef>
          </c:val>
          <c:smooth val="0"/>
          <c:extLst>
            <c:ext xmlns:c16="http://schemas.microsoft.com/office/drawing/2014/chart" uri="{C3380CC4-5D6E-409C-BE32-E72D297353CC}">
              <c16:uniqueId val="{0000000F-0A3C-4BA2-B0BB-9E0DE6D9F4E5}"/>
            </c:ext>
          </c:extLst>
        </c:ser>
        <c:dLbls>
          <c:showLegendKey val="0"/>
          <c:showVal val="0"/>
          <c:showCatName val="0"/>
          <c:showSerName val="0"/>
          <c:showPercent val="0"/>
          <c:showBubbleSize val="0"/>
        </c:dLbls>
        <c:marker val="1"/>
        <c:smooth val="0"/>
        <c:axId val="281854464"/>
        <c:axId val="285629184"/>
      </c:lineChart>
      <c:catAx>
        <c:axId val="281854464"/>
        <c:scaling>
          <c:orientation val="minMax"/>
        </c:scaling>
        <c:delete val="0"/>
        <c:axPos val="b"/>
        <c:numFmt formatCode="General" sourceLinked="1"/>
        <c:majorTickMark val="out"/>
        <c:minorTickMark val="none"/>
        <c:tickLblPos val="nextTo"/>
        <c:txPr>
          <a:bodyPr/>
          <a:lstStyle/>
          <a:p>
            <a:pPr>
              <a:defRPr sz="800"/>
            </a:pPr>
            <a:endParaRPr lang="pt-PT"/>
          </a:p>
        </c:txPr>
        <c:crossAx val="285629184"/>
        <c:crosses val="autoZero"/>
        <c:auto val="1"/>
        <c:lblAlgn val="ctr"/>
        <c:lblOffset val="100"/>
        <c:noMultiLvlLbl val="0"/>
      </c:catAx>
      <c:valAx>
        <c:axId val="285629184"/>
        <c:scaling>
          <c:orientation val="minMax"/>
        </c:scaling>
        <c:delete val="1"/>
        <c:axPos val="l"/>
        <c:numFmt formatCode="0.0" sourceLinked="1"/>
        <c:majorTickMark val="out"/>
        <c:minorTickMark val="none"/>
        <c:tickLblPos val="none"/>
        <c:crossAx val="281854464"/>
        <c:crosses val="autoZero"/>
        <c:crossBetween val="between"/>
      </c:valAx>
    </c:plotArea>
    <c:legend>
      <c:legendPos val="r"/>
      <c:layout>
        <c:manualLayout>
          <c:xMode val="edge"/>
          <c:yMode val="edge"/>
          <c:x val="9.3344933401843244E-2"/>
          <c:y val="0.78183143773694941"/>
          <c:w val="0.62454606157226356"/>
          <c:h val="7.9855278506853311E-2"/>
        </c:manualLayout>
      </c:layout>
      <c:overlay val="0"/>
      <c:txPr>
        <a:bodyPr/>
        <a:lstStyle/>
        <a:p>
          <a:pPr>
            <a:defRPr sz="800"/>
          </a:pPr>
          <a:endParaRPr lang="pt-PT"/>
        </a:p>
      </c:txPr>
    </c:legend>
    <c:plotVisOnly val="1"/>
    <c:dispBlanksAs val="gap"/>
    <c:showDLblsOverMax val="0"/>
  </c:chart>
  <c:txPr>
    <a:bodyPr/>
    <a:lstStyle/>
    <a:p>
      <a:pPr>
        <a:defRPr sz="800"/>
      </a:pPr>
      <a:endParaRPr lang="pt-P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4318307086614174"/>
          <c:y val="5.1400554097404488E-2"/>
          <c:w val="0.84433289588801397"/>
          <c:h val="0.85576771653544248"/>
        </c:manualLayout>
      </c:layout>
      <c:barChart>
        <c:barDir val="col"/>
        <c:grouping val="clustered"/>
        <c:varyColors val="0"/>
        <c:ser>
          <c:idx val="0"/>
          <c:order val="0"/>
          <c:tx>
            <c:strRef>
              <c:f>Folha3!$B$23</c:f>
              <c:strCache>
                <c:ptCount val="1"/>
                <c:pt idx="0">
                  <c:v>Mulheres </c:v>
                </c:pt>
              </c:strCache>
            </c:strRef>
          </c:tx>
          <c:invertIfNegative val="0"/>
          <c:cat>
            <c:strRef>
              <c:f>Folha3!$A$24:$A$28</c:f>
              <c:strCache>
                <c:ptCount val="5"/>
                <c:pt idx="0">
                  <c:v>Muito Baixo</c:v>
                </c:pt>
                <c:pt idx="1">
                  <c:v>Baixo</c:v>
                </c:pt>
                <c:pt idx="2">
                  <c:v>Médio </c:v>
                </c:pt>
                <c:pt idx="3">
                  <c:v>Alto</c:v>
                </c:pt>
                <c:pt idx="4">
                  <c:v>Muito Alto</c:v>
                </c:pt>
              </c:strCache>
            </c:strRef>
          </c:cat>
          <c:val>
            <c:numRef>
              <c:f>Folha3!$B$24:$B$28</c:f>
              <c:numCache>
                <c:formatCode>[h]:mm:ss</c:formatCode>
                <c:ptCount val="5"/>
                <c:pt idx="0">
                  <c:v>3.1263888888888887</c:v>
                </c:pt>
                <c:pt idx="1">
                  <c:v>2.817361111111111</c:v>
                </c:pt>
                <c:pt idx="2">
                  <c:v>2.6715277777778215</c:v>
                </c:pt>
                <c:pt idx="3">
                  <c:v>2.5055555555555555</c:v>
                </c:pt>
                <c:pt idx="4">
                  <c:v>2.4013888888888877</c:v>
                </c:pt>
              </c:numCache>
            </c:numRef>
          </c:val>
          <c:extLst>
            <c:ext xmlns:c16="http://schemas.microsoft.com/office/drawing/2014/chart" uri="{C3380CC4-5D6E-409C-BE32-E72D297353CC}">
              <c16:uniqueId val="{00000000-8CDF-46B2-AFA8-BD50787BB3D1}"/>
            </c:ext>
          </c:extLst>
        </c:ser>
        <c:ser>
          <c:idx val="1"/>
          <c:order val="1"/>
          <c:tx>
            <c:strRef>
              <c:f>Folha3!$C$23</c:f>
              <c:strCache>
                <c:ptCount val="1"/>
                <c:pt idx="0">
                  <c:v>Homens</c:v>
                </c:pt>
              </c:strCache>
            </c:strRef>
          </c:tx>
          <c:invertIfNegative val="0"/>
          <c:cat>
            <c:strRef>
              <c:f>Folha3!$A$24:$A$28</c:f>
              <c:strCache>
                <c:ptCount val="5"/>
                <c:pt idx="0">
                  <c:v>Muito Baixo</c:v>
                </c:pt>
                <c:pt idx="1">
                  <c:v>Baixo</c:v>
                </c:pt>
                <c:pt idx="2">
                  <c:v>Médio </c:v>
                </c:pt>
                <c:pt idx="3">
                  <c:v>Alto</c:v>
                </c:pt>
                <c:pt idx="4">
                  <c:v>Muito Alto</c:v>
                </c:pt>
              </c:strCache>
            </c:strRef>
          </c:cat>
          <c:val>
            <c:numRef>
              <c:f>Folha3!$C$24:$C$28</c:f>
              <c:numCache>
                <c:formatCode>[h]:mm:ss</c:formatCode>
                <c:ptCount val="5"/>
                <c:pt idx="0">
                  <c:v>1.8180555555555713</c:v>
                </c:pt>
                <c:pt idx="1">
                  <c:v>1.7291666666666659</c:v>
                </c:pt>
                <c:pt idx="2">
                  <c:v>1.6111111111111109</c:v>
                </c:pt>
                <c:pt idx="3">
                  <c:v>1.5777777777777777</c:v>
                </c:pt>
                <c:pt idx="4">
                  <c:v>1.3270833333333341</c:v>
                </c:pt>
              </c:numCache>
            </c:numRef>
          </c:val>
          <c:extLst>
            <c:ext xmlns:c16="http://schemas.microsoft.com/office/drawing/2014/chart" uri="{C3380CC4-5D6E-409C-BE32-E72D297353CC}">
              <c16:uniqueId val="{00000001-8CDF-46B2-AFA8-BD50787BB3D1}"/>
            </c:ext>
          </c:extLst>
        </c:ser>
        <c:dLbls>
          <c:showLegendKey val="0"/>
          <c:showVal val="0"/>
          <c:showCatName val="0"/>
          <c:showSerName val="0"/>
          <c:showPercent val="0"/>
          <c:showBubbleSize val="0"/>
        </c:dLbls>
        <c:gapWidth val="150"/>
        <c:axId val="281854976"/>
        <c:axId val="187195392"/>
      </c:barChart>
      <c:catAx>
        <c:axId val="281854976"/>
        <c:scaling>
          <c:orientation val="minMax"/>
        </c:scaling>
        <c:delete val="0"/>
        <c:axPos val="b"/>
        <c:numFmt formatCode="General" sourceLinked="0"/>
        <c:majorTickMark val="out"/>
        <c:minorTickMark val="none"/>
        <c:tickLblPos val="nextTo"/>
        <c:txPr>
          <a:bodyPr/>
          <a:lstStyle/>
          <a:p>
            <a:pPr>
              <a:defRPr sz="800"/>
            </a:pPr>
            <a:endParaRPr lang="pt-PT"/>
          </a:p>
        </c:txPr>
        <c:crossAx val="187195392"/>
        <c:crosses val="autoZero"/>
        <c:auto val="1"/>
        <c:lblAlgn val="ctr"/>
        <c:lblOffset val="100"/>
        <c:noMultiLvlLbl val="0"/>
      </c:catAx>
      <c:valAx>
        <c:axId val="187195392"/>
        <c:scaling>
          <c:orientation val="minMax"/>
        </c:scaling>
        <c:delete val="0"/>
        <c:axPos val="l"/>
        <c:numFmt formatCode="[h]:mm:ss" sourceLinked="1"/>
        <c:majorTickMark val="out"/>
        <c:minorTickMark val="none"/>
        <c:tickLblPos val="nextTo"/>
        <c:txPr>
          <a:bodyPr/>
          <a:lstStyle/>
          <a:p>
            <a:pPr>
              <a:defRPr sz="800"/>
            </a:pPr>
            <a:endParaRPr lang="pt-PT"/>
          </a:p>
        </c:txPr>
        <c:crossAx val="281854976"/>
        <c:crosses val="autoZero"/>
        <c:crossBetween val="between"/>
      </c:valAx>
    </c:plotArea>
    <c:legend>
      <c:legendPos val="r"/>
      <c:layout>
        <c:manualLayout>
          <c:xMode val="edge"/>
          <c:yMode val="edge"/>
          <c:x val="0.43626465441819773"/>
          <c:y val="5.9801326917469012E-2"/>
          <c:w val="0.4498464566929134"/>
          <c:h val="5.1693642461358866E-2"/>
        </c:manualLayout>
      </c:layout>
      <c:overlay val="0"/>
      <c:txPr>
        <a:bodyPr/>
        <a:lstStyle/>
        <a:p>
          <a:pPr>
            <a:defRPr sz="800"/>
          </a:pPr>
          <a:endParaRPr lang="pt-PT"/>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7770408315438169"/>
          <c:y val="7.1761530705954701E-2"/>
          <c:w val="0.82050432334666756"/>
          <c:h val="0.73408374363466866"/>
        </c:manualLayout>
      </c:layout>
      <c:barChart>
        <c:barDir val="col"/>
        <c:grouping val="clustered"/>
        <c:varyColors val="0"/>
        <c:ser>
          <c:idx val="0"/>
          <c:order val="0"/>
          <c:tx>
            <c:strRef>
              <c:f>Folha3!$B$45</c:f>
              <c:strCache>
                <c:ptCount val="1"/>
                <c:pt idx="0">
                  <c:v>Mulheres </c:v>
                </c:pt>
              </c:strCache>
            </c:strRef>
          </c:tx>
          <c:invertIfNegative val="0"/>
          <c:cat>
            <c:strRef>
              <c:f>Folha3!$A$46:$A$48</c:f>
              <c:strCache>
                <c:ptCount val="3"/>
                <c:pt idx="0">
                  <c:v>1 criança</c:v>
                </c:pt>
                <c:pt idx="1">
                  <c:v>2 crianças</c:v>
                </c:pt>
                <c:pt idx="2">
                  <c:v>3 ou mais crianças</c:v>
                </c:pt>
              </c:strCache>
            </c:strRef>
          </c:cat>
          <c:val>
            <c:numRef>
              <c:f>Folha3!$B$46:$B$48</c:f>
              <c:numCache>
                <c:formatCode>[h]:mm:ss</c:formatCode>
                <c:ptCount val="3"/>
                <c:pt idx="0">
                  <c:v>1.0986111111111121</c:v>
                </c:pt>
                <c:pt idx="1">
                  <c:v>1.4486111111111111</c:v>
                </c:pt>
                <c:pt idx="2">
                  <c:v>1.5944444444444439</c:v>
                </c:pt>
              </c:numCache>
            </c:numRef>
          </c:val>
          <c:extLst>
            <c:ext xmlns:c16="http://schemas.microsoft.com/office/drawing/2014/chart" uri="{C3380CC4-5D6E-409C-BE32-E72D297353CC}">
              <c16:uniqueId val="{00000000-FBB8-47A2-B6EB-51B37B7EADA7}"/>
            </c:ext>
          </c:extLst>
        </c:ser>
        <c:ser>
          <c:idx val="1"/>
          <c:order val="1"/>
          <c:tx>
            <c:strRef>
              <c:f>Folha3!$C$45</c:f>
              <c:strCache>
                <c:ptCount val="1"/>
                <c:pt idx="0">
                  <c:v>Homens</c:v>
                </c:pt>
              </c:strCache>
            </c:strRef>
          </c:tx>
          <c:invertIfNegative val="0"/>
          <c:cat>
            <c:strRef>
              <c:f>Folha3!$A$46:$A$48</c:f>
              <c:strCache>
                <c:ptCount val="3"/>
                <c:pt idx="0">
                  <c:v>1 criança</c:v>
                </c:pt>
                <c:pt idx="1">
                  <c:v>2 crianças</c:v>
                </c:pt>
                <c:pt idx="2">
                  <c:v>3 ou mais crianças</c:v>
                </c:pt>
              </c:strCache>
            </c:strRef>
          </c:cat>
          <c:val>
            <c:numRef>
              <c:f>Folha3!$C$46:$C$48</c:f>
              <c:numCache>
                <c:formatCode>[h]:mm:ss</c:formatCode>
                <c:ptCount val="3"/>
                <c:pt idx="0">
                  <c:v>1.0062499999999999</c:v>
                </c:pt>
                <c:pt idx="1">
                  <c:v>1.054861111111111</c:v>
                </c:pt>
                <c:pt idx="2">
                  <c:v>1.0743055555555561</c:v>
                </c:pt>
              </c:numCache>
            </c:numRef>
          </c:val>
          <c:extLst>
            <c:ext xmlns:c16="http://schemas.microsoft.com/office/drawing/2014/chart" uri="{C3380CC4-5D6E-409C-BE32-E72D297353CC}">
              <c16:uniqueId val="{00000001-FBB8-47A2-B6EB-51B37B7EADA7}"/>
            </c:ext>
          </c:extLst>
        </c:ser>
        <c:dLbls>
          <c:showLegendKey val="0"/>
          <c:showVal val="0"/>
          <c:showCatName val="0"/>
          <c:showSerName val="0"/>
          <c:showPercent val="0"/>
          <c:showBubbleSize val="0"/>
        </c:dLbls>
        <c:gapWidth val="150"/>
        <c:axId val="281856000"/>
        <c:axId val="187197120"/>
      </c:barChart>
      <c:catAx>
        <c:axId val="281856000"/>
        <c:scaling>
          <c:orientation val="minMax"/>
        </c:scaling>
        <c:delete val="0"/>
        <c:axPos val="b"/>
        <c:numFmt formatCode="General" sourceLinked="0"/>
        <c:majorTickMark val="out"/>
        <c:minorTickMark val="none"/>
        <c:tickLblPos val="nextTo"/>
        <c:txPr>
          <a:bodyPr/>
          <a:lstStyle/>
          <a:p>
            <a:pPr>
              <a:defRPr sz="800"/>
            </a:pPr>
            <a:endParaRPr lang="pt-PT"/>
          </a:p>
        </c:txPr>
        <c:crossAx val="187197120"/>
        <c:crosses val="autoZero"/>
        <c:auto val="1"/>
        <c:lblAlgn val="ctr"/>
        <c:lblOffset val="100"/>
        <c:noMultiLvlLbl val="0"/>
      </c:catAx>
      <c:valAx>
        <c:axId val="187197120"/>
        <c:scaling>
          <c:orientation val="minMax"/>
        </c:scaling>
        <c:delete val="0"/>
        <c:axPos val="l"/>
        <c:numFmt formatCode="[h]:mm:ss" sourceLinked="1"/>
        <c:majorTickMark val="out"/>
        <c:minorTickMark val="none"/>
        <c:tickLblPos val="nextTo"/>
        <c:txPr>
          <a:bodyPr/>
          <a:lstStyle/>
          <a:p>
            <a:pPr>
              <a:defRPr sz="800"/>
            </a:pPr>
            <a:endParaRPr lang="pt-PT"/>
          </a:p>
        </c:txPr>
        <c:crossAx val="281856000"/>
        <c:crosses val="autoZero"/>
        <c:crossBetween val="between"/>
      </c:valAx>
    </c:plotArea>
    <c:legend>
      <c:legendPos val="r"/>
      <c:layout>
        <c:manualLayout>
          <c:xMode val="edge"/>
          <c:yMode val="edge"/>
          <c:x val="0.21126465441819794"/>
          <c:y val="7.369021580635754E-2"/>
          <c:w val="0.41095756780403025"/>
          <c:h val="4.7064012831730222E-2"/>
        </c:manualLayout>
      </c:layout>
      <c:overlay val="0"/>
      <c:txPr>
        <a:bodyPr/>
        <a:lstStyle/>
        <a:p>
          <a:pPr>
            <a:defRPr sz="800"/>
          </a:pPr>
          <a:endParaRPr lang="pt-PT"/>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209120565792678"/>
          <c:y val="0.11614644802614379"/>
          <c:w val="0.84935783027121614"/>
          <c:h val="0.65165869530649589"/>
        </c:manualLayout>
      </c:layout>
      <c:barChart>
        <c:barDir val="col"/>
        <c:grouping val="clustered"/>
        <c:varyColors val="0"/>
        <c:ser>
          <c:idx val="0"/>
          <c:order val="0"/>
          <c:tx>
            <c:strRef>
              <c:f>Folha3!$K$2</c:f>
              <c:strCache>
                <c:ptCount val="1"/>
                <c:pt idx="0">
                  <c:v>Mulheres</c:v>
                </c:pt>
              </c:strCache>
            </c:strRef>
          </c:tx>
          <c:invertIfNegative val="0"/>
          <c:cat>
            <c:strRef>
              <c:f>Folha3!$J$3:$J$7</c:f>
              <c:strCache>
                <c:ptCount val="5"/>
                <c:pt idx="0">
                  <c:v>Trabalho não remunerado geral</c:v>
                </c:pt>
                <c:pt idx="1">
                  <c:v>Trabalho doméstico</c:v>
                </c:pt>
                <c:pt idx="2">
                  <c:v>Cuidado a dependentes</c:v>
                </c:pt>
                <c:pt idx="3">
                  <c:v>Apoio a outros agregados</c:v>
                </c:pt>
                <c:pt idx="4">
                  <c:v>Trabalho voluntário</c:v>
                </c:pt>
              </c:strCache>
            </c:strRef>
          </c:cat>
          <c:val>
            <c:numRef>
              <c:f>Folha3!$K$3:$K$7</c:f>
              <c:numCache>
                <c:formatCode>[h]:mm:ss</c:formatCode>
                <c:ptCount val="5"/>
                <c:pt idx="0">
                  <c:v>2.6194444444444427</c:v>
                </c:pt>
                <c:pt idx="1">
                  <c:v>2.4861111111111112</c:v>
                </c:pt>
                <c:pt idx="2" formatCode="h:mm">
                  <c:v>0.79236111111111107</c:v>
                </c:pt>
                <c:pt idx="3" formatCode="h:mm">
                  <c:v>0.82083333333333364</c:v>
                </c:pt>
                <c:pt idx="4" formatCode="h:mm">
                  <c:v>0.83541666666666659</c:v>
                </c:pt>
              </c:numCache>
            </c:numRef>
          </c:val>
          <c:extLst>
            <c:ext xmlns:c16="http://schemas.microsoft.com/office/drawing/2014/chart" uri="{C3380CC4-5D6E-409C-BE32-E72D297353CC}">
              <c16:uniqueId val="{00000000-5872-44C8-B36A-772038D303E4}"/>
            </c:ext>
          </c:extLst>
        </c:ser>
        <c:ser>
          <c:idx val="1"/>
          <c:order val="1"/>
          <c:tx>
            <c:strRef>
              <c:f>Folha3!$L$2</c:f>
              <c:strCache>
                <c:ptCount val="1"/>
                <c:pt idx="0">
                  <c:v>Homens</c:v>
                </c:pt>
              </c:strCache>
            </c:strRef>
          </c:tx>
          <c:invertIfNegative val="0"/>
          <c:cat>
            <c:strRef>
              <c:f>Folha3!$J$3:$J$7</c:f>
              <c:strCache>
                <c:ptCount val="5"/>
                <c:pt idx="0">
                  <c:v>Trabalho não remunerado geral</c:v>
                </c:pt>
                <c:pt idx="1">
                  <c:v>Trabalho doméstico</c:v>
                </c:pt>
                <c:pt idx="2">
                  <c:v>Cuidado a dependentes</c:v>
                </c:pt>
                <c:pt idx="3">
                  <c:v>Apoio a outros agregados</c:v>
                </c:pt>
                <c:pt idx="4">
                  <c:v>Trabalho voluntário</c:v>
                </c:pt>
              </c:strCache>
            </c:strRef>
          </c:cat>
          <c:val>
            <c:numRef>
              <c:f>Folha3!$L$3:$L$7</c:f>
              <c:numCache>
                <c:formatCode>[h]:mm:ss</c:formatCode>
                <c:ptCount val="5"/>
                <c:pt idx="0">
                  <c:v>1.5902777777777781</c:v>
                </c:pt>
                <c:pt idx="1">
                  <c:v>1.5013888888888889</c:v>
                </c:pt>
                <c:pt idx="2" formatCode="h:mm">
                  <c:v>0.50208333333333333</c:v>
                </c:pt>
                <c:pt idx="3" formatCode="h:mm">
                  <c:v>0.76319444444445528</c:v>
                </c:pt>
                <c:pt idx="4" formatCode="h:mm">
                  <c:v>0.73680555555556493</c:v>
                </c:pt>
              </c:numCache>
            </c:numRef>
          </c:val>
          <c:extLst>
            <c:ext xmlns:c16="http://schemas.microsoft.com/office/drawing/2014/chart" uri="{C3380CC4-5D6E-409C-BE32-E72D297353CC}">
              <c16:uniqueId val="{00000001-5872-44C8-B36A-772038D303E4}"/>
            </c:ext>
          </c:extLst>
        </c:ser>
        <c:dLbls>
          <c:showLegendKey val="0"/>
          <c:showVal val="0"/>
          <c:showCatName val="0"/>
          <c:showSerName val="0"/>
          <c:showPercent val="0"/>
          <c:showBubbleSize val="0"/>
        </c:dLbls>
        <c:gapWidth val="150"/>
        <c:axId val="281857024"/>
        <c:axId val="187198848"/>
      </c:barChart>
      <c:catAx>
        <c:axId val="281857024"/>
        <c:scaling>
          <c:orientation val="minMax"/>
        </c:scaling>
        <c:delete val="0"/>
        <c:axPos val="b"/>
        <c:numFmt formatCode="General" sourceLinked="0"/>
        <c:majorTickMark val="out"/>
        <c:minorTickMark val="none"/>
        <c:tickLblPos val="nextTo"/>
        <c:txPr>
          <a:bodyPr/>
          <a:lstStyle/>
          <a:p>
            <a:pPr>
              <a:defRPr sz="800"/>
            </a:pPr>
            <a:endParaRPr lang="pt-PT"/>
          </a:p>
        </c:txPr>
        <c:crossAx val="187198848"/>
        <c:crosses val="autoZero"/>
        <c:auto val="1"/>
        <c:lblAlgn val="ctr"/>
        <c:lblOffset val="100"/>
        <c:noMultiLvlLbl val="0"/>
      </c:catAx>
      <c:valAx>
        <c:axId val="187198848"/>
        <c:scaling>
          <c:orientation val="minMax"/>
        </c:scaling>
        <c:delete val="0"/>
        <c:axPos val="l"/>
        <c:numFmt formatCode="[h]:mm:ss" sourceLinked="1"/>
        <c:majorTickMark val="out"/>
        <c:minorTickMark val="none"/>
        <c:tickLblPos val="nextTo"/>
        <c:txPr>
          <a:bodyPr/>
          <a:lstStyle/>
          <a:p>
            <a:pPr>
              <a:defRPr sz="800"/>
            </a:pPr>
            <a:endParaRPr lang="pt-PT"/>
          </a:p>
        </c:txPr>
        <c:crossAx val="281857024"/>
        <c:crosses val="autoZero"/>
        <c:crossBetween val="between"/>
      </c:valAx>
    </c:plotArea>
    <c:legend>
      <c:legendPos val="r"/>
      <c:layout>
        <c:manualLayout>
          <c:xMode val="edge"/>
          <c:yMode val="edge"/>
          <c:x val="0.48444932387073181"/>
          <c:y val="6.4430763500160373E-2"/>
          <c:w val="0.44135048145943218"/>
          <c:h val="8.5379179867320659E-2"/>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0670669045784702E-2"/>
          <c:y val="8.9466176741417228E-2"/>
          <c:w val="0.94967160354957425"/>
          <c:h val="0.73789798014379582"/>
        </c:manualLayout>
      </c:layout>
      <c:bar3DChart>
        <c:barDir val="col"/>
        <c:grouping val="stacked"/>
        <c:varyColors val="0"/>
        <c:ser>
          <c:idx val="0"/>
          <c:order val="0"/>
          <c:tx>
            <c:strRef>
              <c:f>Folha1!$A$2:$E$2</c:f>
              <c:strCache>
                <c:ptCount val="1"/>
                <c:pt idx="0">
                  <c:v>3,8 11,1 11,1 15,3 20,8</c:v>
                </c:pt>
              </c:strCache>
            </c:strRef>
          </c:tx>
          <c:invertIfNegative val="0"/>
          <c:cat>
            <c:numRef>
              <c:f>Folha1!$A$1:$E$1</c:f>
              <c:numCache>
                <c:formatCode>General</c:formatCode>
                <c:ptCount val="5"/>
                <c:pt idx="0">
                  <c:v>1991</c:v>
                </c:pt>
                <c:pt idx="1">
                  <c:v>1995</c:v>
                </c:pt>
                <c:pt idx="2">
                  <c:v>2001</c:v>
                </c:pt>
                <c:pt idx="3">
                  <c:v>2006</c:v>
                </c:pt>
                <c:pt idx="4">
                  <c:v>2011</c:v>
                </c:pt>
              </c:numCache>
            </c:numRef>
          </c:cat>
          <c:val>
            <c:numRef>
              <c:f>Folha1!$A$3:$E$3</c:f>
              <c:numCache>
                <c:formatCode>General</c:formatCode>
                <c:ptCount val="5"/>
                <c:pt idx="0">
                  <c:v>96.2</c:v>
                </c:pt>
                <c:pt idx="1">
                  <c:v>88.9</c:v>
                </c:pt>
                <c:pt idx="2">
                  <c:v>88.9</c:v>
                </c:pt>
                <c:pt idx="3">
                  <c:v>84.7</c:v>
                </c:pt>
                <c:pt idx="4">
                  <c:v>79.2</c:v>
                </c:pt>
              </c:numCache>
            </c:numRef>
          </c:val>
          <c:extLst>
            <c:ext xmlns:c16="http://schemas.microsoft.com/office/drawing/2014/chart" uri="{C3380CC4-5D6E-409C-BE32-E72D297353CC}">
              <c16:uniqueId val="{00000000-8C45-4731-A7F7-2B9738D49013}"/>
            </c:ext>
          </c:extLst>
        </c:ser>
        <c:ser>
          <c:idx val="1"/>
          <c:order val="1"/>
          <c:tx>
            <c:strRef>
              <c:f>Folha1!$A$2:$E$2</c:f>
              <c:strCache>
                <c:ptCount val="1"/>
                <c:pt idx="0">
                  <c:v>3,8 11,1 11,1 15,3 20,8</c:v>
                </c:pt>
              </c:strCache>
            </c:strRef>
          </c:tx>
          <c:invertIfNegative val="0"/>
          <c:dLbls>
            <c:dLbl>
              <c:idx val="0"/>
              <c:layout>
                <c:manualLayout>
                  <c:x val="1.6666666666666701E-2"/>
                  <c:y val="-0.13499039051457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45-4731-A7F7-2B9738D49013}"/>
                </c:ext>
              </c:extLst>
            </c:dLbl>
            <c:dLbl>
              <c:idx val="1"/>
              <c:layout>
                <c:manualLayout>
                  <c:x val="1.5873015873015901E-3"/>
                  <c:y val="-0.154155414199258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45-4731-A7F7-2B9738D49013}"/>
                </c:ext>
              </c:extLst>
            </c:dLbl>
            <c:dLbl>
              <c:idx val="2"/>
              <c:layout>
                <c:manualLayout>
                  <c:x val="1.3888576427946523E-2"/>
                  <c:y val="-0.148224821587386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45-4731-A7F7-2B9738D49013}"/>
                </c:ext>
              </c:extLst>
            </c:dLbl>
            <c:dLbl>
              <c:idx val="3"/>
              <c:layout>
                <c:manualLayout>
                  <c:x val="1.1110798650168743E-2"/>
                  <c:y val="-0.146196666015921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45-4731-A7F7-2B9738D49013}"/>
                </c:ext>
              </c:extLst>
            </c:dLbl>
            <c:dLbl>
              <c:idx val="4"/>
              <c:layout>
                <c:manualLayout>
                  <c:x val="2.7380952380952242E-2"/>
                  <c:y val="-0.17745615604867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45-4731-A7F7-2B9738D4901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Folha1!$A$2:$E$2</c:f>
              <c:numCache>
                <c:formatCode>General</c:formatCode>
                <c:ptCount val="5"/>
                <c:pt idx="0">
                  <c:v>3.8</c:v>
                </c:pt>
                <c:pt idx="1">
                  <c:v>11.1</c:v>
                </c:pt>
                <c:pt idx="2">
                  <c:v>11.1</c:v>
                </c:pt>
                <c:pt idx="3">
                  <c:v>15.3</c:v>
                </c:pt>
                <c:pt idx="4">
                  <c:v>20.8</c:v>
                </c:pt>
              </c:numCache>
            </c:numRef>
          </c:val>
          <c:extLst>
            <c:ext xmlns:c16="http://schemas.microsoft.com/office/drawing/2014/chart" uri="{C3380CC4-5D6E-409C-BE32-E72D297353CC}">
              <c16:uniqueId val="{00000006-8C45-4731-A7F7-2B9738D49013}"/>
            </c:ext>
          </c:extLst>
        </c:ser>
        <c:dLbls>
          <c:showLegendKey val="0"/>
          <c:showVal val="0"/>
          <c:showCatName val="0"/>
          <c:showSerName val="0"/>
          <c:showPercent val="0"/>
          <c:showBubbleSize val="0"/>
        </c:dLbls>
        <c:gapWidth val="150"/>
        <c:shape val="box"/>
        <c:axId val="281857536"/>
        <c:axId val="187201152"/>
        <c:axId val="0"/>
      </c:bar3DChart>
      <c:catAx>
        <c:axId val="281857536"/>
        <c:scaling>
          <c:orientation val="minMax"/>
        </c:scaling>
        <c:delete val="0"/>
        <c:axPos val="b"/>
        <c:numFmt formatCode="General" sourceLinked="1"/>
        <c:majorTickMark val="out"/>
        <c:minorTickMark val="none"/>
        <c:tickLblPos val="nextTo"/>
        <c:txPr>
          <a:bodyPr/>
          <a:lstStyle/>
          <a:p>
            <a:pPr>
              <a:defRPr sz="800"/>
            </a:pPr>
            <a:endParaRPr lang="pt-PT"/>
          </a:p>
        </c:txPr>
        <c:crossAx val="187201152"/>
        <c:crosses val="autoZero"/>
        <c:auto val="1"/>
        <c:lblAlgn val="ctr"/>
        <c:lblOffset val="100"/>
        <c:noMultiLvlLbl val="0"/>
      </c:catAx>
      <c:valAx>
        <c:axId val="187201152"/>
        <c:scaling>
          <c:orientation val="minMax"/>
        </c:scaling>
        <c:delete val="1"/>
        <c:axPos val="l"/>
        <c:numFmt formatCode="General" sourceLinked="1"/>
        <c:majorTickMark val="out"/>
        <c:minorTickMark val="none"/>
        <c:tickLblPos val="none"/>
        <c:crossAx val="281857536"/>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400" b="1" i="0" baseline="0"/>
              <a:t>Medidas Estratégicas por Entidade Responsável</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'Mach gto y fuente'!$A$2</c:f>
              <c:strCache>
                <c:ptCount val="1"/>
                <c:pt idx="0">
                  <c:v>ENTIDADE RESPONSAVEL</c:v>
                </c:pt>
              </c:strCache>
            </c:strRef>
          </c:tx>
          <c:invertIfNegative val="0"/>
          <c:cat>
            <c:strRef>
              <c:f>'Mach gto y fuente'!$A$3:$A$14</c:f>
              <c:strCache>
                <c:ptCount val="12"/>
                <c:pt idx="0">
                  <c:v>ASSEMBLEIA</c:v>
                </c:pt>
                <c:pt idx="1">
                  <c:v>CHGOV</c:v>
                </c:pt>
                <c:pt idx="2">
                  <c:v>MAHOT</c:v>
                </c:pt>
                <c:pt idx="3">
                  <c:v>MAPM/Org.CS</c:v>
                </c:pt>
                <c:pt idx="4">
                  <c:v>MAPM/ICIEG</c:v>
                </c:pt>
                <c:pt idx="5">
                  <c:v>MDR</c:v>
                </c:pt>
                <c:pt idx="6">
                  <c:v>MED</c:v>
                </c:pt>
                <c:pt idx="7">
                  <c:v>MESCI</c:v>
                </c:pt>
                <c:pt idx="8">
                  <c:v>MFP</c:v>
                </c:pt>
                <c:pt idx="9">
                  <c:v>MJEDRH</c:v>
                </c:pt>
                <c:pt idx="10">
                  <c:v>MS</c:v>
                </c:pt>
                <c:pt idx="11">
                  <c:v>MTIDE</c:v>
                </c:pt>
              </c:strCache>
            </c:strRef>
          </c:cat>
          <c:val>
            <c:numRef>
              <c:f>'Mach gto y fuente'!$B$3:$B$14</c:f>
              <c:numCache>
                <c:formatCode>_-* #,##0\ _€_-;\-* #,##0\ _€_-;_-* "-"??\ _€_-;_-@_-</c:formatCode>
                <c:ptCount val="12"/>
                <c:pt idx="0">
                  <c:v>8</c:v>
                </c:pt>
                <c:pt idx="1">
                  <c:v>3</c:v>
                </c:pt>
                <c:pt idx="2">
                  <c:v>2</c:v>
                </c:pt>
                <c:pt idx="3">
                  <c:v>2</c:v>
                </c:pt>
                <c:pt idx="4">
                  <c:v>11</c:v>
                </c:pt>
                <c:pt idx="5">
                  <c:v>3</c:v>
                </c:pt>
                <c:pt idx="6">
                  <c:v>6</c:v>
                </c:pt>
                <c:pt idx="7">
                  <c:v>2</c:v>
                </c:pt>
                <c:pt idx="8">
                  <c:v>10</c:v>
                </c:pt>
                <c:pt idx="9">
                  <c:v>8</c:v>
                </c:pt>
                <c:pt idx="10">
                  <c:v>14</c:v>
                </c:pt>
                <c:pt idx="11">
                  <c:v>4</c:v>
                </c:pt>
              </c:numCache>
            </c:numRef>
          </c:val>
          <c:extLst>
            <c:ext xmlns:c16="http://schemas.microsoft.com/office/drawing/2014/chart" uri="{C3380CC4-5D6E-409C-BE32-E72D297353CC}">
              <c16:uniqueId val="{00000000-035F-4F9D-BCC5-A31136B51BDA}"/>
            </c:ext>
          </c:extLst>
        </c:ser>
        <c:dLbls>
          <c:showLegendKey val="0"/>
          <c:showVal val="0"/>
          <c:showCatName val="0"/>
          <c:showSerName val="0"/>
          <c:showPercent val="0"/>
          <c:showBubbleSize val="0"/>
        </c:dLbls>
        <c:gapWidth val="150"/>
        <c:shape val="cylinder"/>
        <c:axId val="281858048"/>
        <c:axId val="286924800"/>
        <c:axId val="0"/>
      </c:bar3DChart>
      <c:catAx>
        <c:axId val="281858048"/>
        <c:scaling>
          <c:orientation val="minMax"/>
        </c:scaling>
        <c:delete val="0"/>
        <c:axPos val="b"/>
        <c:numFmt formatCode="General" sourceLinked="0"/>
        <c:majorTickMark val="out"/>
        <c:minorTickMark val="none"/>
        <c:tickLblPos val="nextTo"/>
        <c:crossAx val="286924800"/>
        <c:crosses val="autoZero"/>
        <c:auto val="1"/>
        <c:lblAlgn val="ctr"/>
        <c:lblOffset val="100"/>
        <c:noMultiLvlLbl val="0"/>
      </c:catAx>
      <c:valAx>
        <c:axId val="286924800"/>
        <c:scaling>
          <c:orientation val="minMax"/>
        </c:scaling>
        <c:delete val="0"/>
        <c:axPos val="l"/>
        <c:majorGridlines/>
        <c:numFmt formatCode="_-* #,##0\ _€_-;\-* #,##0\ _€_-;_-* &quot;-&quot;??\ _€_-;_-@_-" sourceLinked="1"/>
        <c:majorTickMark val="out"/>
        <c:minorTickMark val="none"/>
        <c:tickLblPos val="nextTo"/>
        <c:crossAx val="281858048"/>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Orçamento</a:t>
            </a:r>
            <a:r>
              <a:rPr lang="es-ES" baseline="0"/>
              <a:t> total por entidade responsavel</a:t>
            </a:r>
            <a:endParaRPr lang="es-E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8.5316562020257725E-2"/>
                  <c:y val="-1.307239126638876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530-4FDF-85D9-F8400FD8AABF}"/>
                </c:ext>
              </c:extLst>
            </c:dLbl>
            <c:dLbl>
              <c:idx val="1"/>
              <c:layout>
                <c:manualLayout>
                  <c:x val="-3.7390993066720507E-3"/>
                  <c:y val="8.212408489342553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530-4FDF-85D9-F8400FD8AABF}"/>
                </c:ext>
              </c:extLst>
            </c:dLbl>
            <c:dLbl>
              <c:idx val="2"/>
              <c:layout>
                <c:manualLayout>
                  <c:x val="7.4325157063945074E-2"/>
                  <c:y val="-2.653306600660589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530-4FDF-85D9-F8400FD8AABF}"/>
                </c:ext>
              </c:extLst>
            </c:dLbl>
            <c:dLbl>
              <c:idx val="11"/>
              <c:layout>
                <c:manualLayout>
                  <c:x val="-1.6058821634912533E-2"/>
                  <c:y val="2.874985618802179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530-4FDF-85D9-F8400FD8AABF}"/>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'Mach gto y fuente'!$A$3:$A$14</c:f>
              <c:strCache>
                <c:ptCount val="12"/>
                <c:pt idx="0">
                  <c:v>ASSEMBLEIA</c:v>
                </c:pt>
                <c:pt idx="1">
                  <c:v>CHGOV</c:v>
                </c:pt>
                <c:pt idx="2">
                  <c:v>MAHOT</c:v>
                </c:pt>
                <c:pt idx="3">
                  <c:v>MAPM/Org.CS</c:v>
                </c:pt>
                <c:pt idx="4">
                  <c:v>MAPM/ICIEG</c:v>
                </c:pt>
                <c:pt idx="5">
                  <c:v>MDR</c:v>
                </c:pt>
                <c:pt idx="6">
                  <c:v>MED</c:v>
                </c:pt>
                <c:pt idx="7">
                  <c:v>MESCI</c:v>
                </c:pt>
                <c:pt idx="8">
                  <c:v>MFP</c:v>
                </c:pt>
                <c:pt idx="9">
                  <c:v>MJEDRH</c:v>
                </c:pt>
                <c:pt idx="10">
                  <c:v>MS</c:v>
                </c:pt>
                <c:pt idx="11">
                  <c:v>MTIDE</c:v>
                </c:pt>
              </c:strCache>
            </c:strRef>
          </c:cat>
          <c:val>
            <c:numRef>
              <c:f>'Mach gto y fuente'!$F$3:$F$14</c:f>
              <c:numCache>
                <c:formatCode>_-* #,##0\ _€_-;\-* #,##0\ _€_-;_-* "-"??\ _€_-;_-@_-</c:formatCode>
                <c:ptCount val="12"/>
                <c:pt idx="0">
                  <c:v>8071000</c:v>
                </c:pt>
                <c:pt idx="1">
                  <c:v>3074000</c:v>
                </c:pt>
                <c:pt idx="2">
                  <c:v>7600000</c:v>
                </c:pt>
                <c:pt idx="3">
                  <c:v>600000</c:v>
                </c:pt>
                <c:pt idx="4">
                  <c:v>89529601</c:v>
                </c:pt>
                <c:pt idx="5">
                  <c:v>8074000</c:v>
                </c:pt>
                <c:pt idx="6">
                  <c:v>4604000</c:v>
                </c:pt>
                <c:pt idx="7">
                  <c:v>1140000</c:v>
                </c:pt>
                <c:pt idx="8">
                  <c:v>18293000</c:v>
                </c:pt>
                <c:pt idx="9">
                  <c:v>14043000</c:v>
                </c:pt>
                <c:pt idx="10">
                  <c:v>20940000</c:v>
                </c:pt>
                <c:pt idx="11">
                  <c:v>8982000</c:v>
                </c:pt>
              </c:numCache>
            </c:numRef>
          </c:val>
          <c:extLst>
            <c:ext xmlns:c16="http://schemas.microsoft.com/office/drawing/2014/chart" uri="{C3380CC4-5D6E-409C-BE32-E72D297353CC}">
              <c16:uniqueId val="{00000004-E530-4FDF-85D9-F8400FD8AABF}"/>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Origem</a:t>
            </a:r>
            <a:r>
              <a:rPr lang="es-ES" baseline="0"/>
              <a:t> dos Fundos</a:t>
            </a:r>
            <a:endParaRPr lang="es-ES"/>
          </a:p>
        </c:rich>
      </c:tx>
      <c:overlay val="0"/>
    </c:title>
    <c:autoTitleDeleted val="0"/>
    <c:plotArea>
      <c:layout/>
      <c:pieChart>
        <c:varyColors val="1"/>
        <c:ser>
          <c:idx val="0"/>
          <c:order val="0"/>
          <c:tx>
            <c:strRef>
              <c:f>Orçamento!$Z$3</c:f>
              <c:strCache>
                <c:ptCount val="1"/>
                <c:pt idx="0">
                  <c:v>Estado</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Orçamento!$Z$3:$AA$3</c:f>
              <c:strCache>
                <c:ptCount val="2"/>
                <c:pt idx="0">
                  <c:v>Estado</c:v>
                </c:pt>
                <c:pt idx="1">
                  <c:v>Parceiros Int</c:v>
                </c:pt>
              </c:strCache>
            </c:strRef>
          </c:cat>
          <c:val>
            <c:numRef>
              <c:f>Orçamento!$Z$163:$AA$163</c:f>
              <c:numCache>
                <c:formatCode>0.00%</c:formatCode>
                <c:ptCount val="2"/>
                <c:pt idx="0">
                  <c:v>0.65608654605020722</c:v>
                </c:pt>
                <c:pt idx="1">
                  <c:v>0.34391345394979378</c:v>
                </c:pt>
              </c:numCache>
            </c:numRef>
          </c:val>
          <c:extLst>
            <c:ext xmlns:c16="http://schemas.microsoft.com/office/drawing/2014/chart" uri="{C3380CC4-5D6E-409C-BE32-E72D297353CC}">
              <c16:uniqueId val="{00000000-3413-450C-AF59-3D444C05F2B4}"/>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Origem dos Fundos</a:t>
            </a:r>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dPt>
            <c:idx val="1"/>
            <c:bubble3D val="0"/>
            <c:spPr>
              <a:solidFill>
                <a:srgbClr val="CCDAEC"/>
              </a:solidFill>
            </c:spPr>
            <c:extLst>
              <c:ext xmlns:c16="http://schemas.microsoft.com/office/drawing/2014/chart" uri="{C3380CC4-5D6E-409C-BE32-E72D297353CC}">
                <c16:uniqueId val="{00000001-C888-40FD-85F7-831E5C153B74}"/>
              </c:ext>
            </c:extLst>
          </c:dPt>
          <c:dPt>
            <c:idx val="2"/>
            <c:bubble3D val="0"/>
            <c:spPr>
              <a:solidFill>
                <a:srgbClr val="C15653"/>
              </a:solidFill>
            </c:spPr>
            <c:extLst>
              <c:ext xmlns:c16="http://schemas.microsoft.com/office/drawing/2014/chart" uri="{C3380CC4-5D6E-409C-BE32-E72D297353CC}">
                <c16:uniqueId val="{00000003-C888-40FD-85F7-831E5C153B74}"/>
              </c:ext>
            </c:extLst>
          </c:dPt>
          <c:dPt>
            <c:idx val="3"/>
            <c:bubble3D val="0"/>
            <c:spPr>
              <a:solidFill>
                <a:schemeClr val="accent2">
                  <a:lumMod val="60000"/>
                  <a:lumOff val="40000"/>
                </a:schemeClr>
              </a:solidFill>
            </c:spPr>
            <c:extLst>
              <c:ext xmlns:c16="http://schemas.microsoft.com/office/drawing/2014/chart" uri="{C3380CC4-5D6E-409C-BE32-E72D297353CC}">
                <c16:uniqueId val="{00000005-C888-40FD-85F7-831E5C153B74}"/>
              </c:ext>
            </c:extLst>
          </c:dPt>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Orçamento!$AB$3:$AE$3</c:f>
              <c:strCache>
                <c:ptCount val="4"/>
                <c:pt idx="0">
                  <c:v>Estado Garantido</c:v>
                </c:pt>
                <c:pt idx="1">
                  <c:v>Estado quadro de Despesas de Médio Prazo  (a alocar)</c:v>
                </c:pt>
                <c:pt idx="2">
                  <c:v>Parceiros Int Garantido</c:v>
                </c:pt>
                <c:pt idx="3">
                  <c:v>Parceiros Int a conseguir</c:v>
                </c:pt>
              </c:strCache>
            </c:strRef>
          </c:cat>
          <c:val>
            <c:numRef>
              <c:f>Orçamento!$AB$162:$AE$162</c:f>
              <c:numCache>
                <c:formatCode>#,##0</c:formatCode>
                <c:ptCount val="4"/>
                <c:pt idx="0">
                  <c:v>17840534</c:v>
                </c:pt>
                <c:pt idx="1">
                  <c:v>103503067</c:v>
                </c:pt>
                <c:pt idx="2">
                  <c:v>8525000</c:v>
                </c:pt>
                <c:pt idx="3">
                  <c:v>55082000</c:v>
                </c:pt>
              </c:numCache>
            </c:numRef>
          </c:val>
          <c:extLst>
            <c:ext xmlns:c16="http://schemas.microsoft.com/office/drawing/2014/chart" uri="{C3380CC4-5D6E-409C-BE32-E72D297353CC}">
              <c16:uniqueId val="{00000006-C888-40FD-85F7-831E5C153B74}"/>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054243219814"/>
          <c:y val="2.2604257801108252E-2"/>
          <c:w val="0.89333945756780464"/>
          <c:h val="0.7248390643240008"/>
        </c:manualLayout>
      </c:layout>
      <c:lineChart>
        <c:grouping val="standard"/>
        <c:varyColors val="0"/>
        <c:ser>
          <c:idx val="0"/>
          <c:order val="0"/>
          <c:tx>
            <c:strRef>
              <c:f>Saude!$B$29</c:f>
              <c:strCache>
                <c:ptCount val="1"/>
                <c:pt idx="0">
                  <c:v>Mulheres</c:v>
                </c:pt>
              </c:strCache>
            </c:strRef>
          </c:tx>
          <c:dLbls>
            <c:dLbl>
              <c:idx val="1"/>
              <c:layout>
                <c:manualLayout>
                  <c:x val="-5.8333333333334569E-2"/>
                  <c:y val="3.24074074074081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C5-4E0E-AB92-C4AD99CF9B56}"/>
                </c:ext>
              </c:extLst>
            </c:dLbl>
            <c:dLbl>
              <c:idx val="2"/>
              <c:layout>
                <c:manualLayout>
                  <c:x val="-3.0555555555555582E-2"/>
                  <c:y val="-2.3148148148148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C5-4E0E-AB92-C4AD99CF9B56}"/>
                </c:ext>
              </c:extLst>
            </c:dLbl>
            <c:dLbl>
              <c:idx val="3"/>
              <c:layout>
                <c:manualLayout>
                  <c:x val="-6.66666666666666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C5-4E0E-AB92-C4AD99CF9B56}"/>
                </c:ext>
              </c:extLst>
            </c:dLbl>
            <c:dLbl>
              <c:idx val="4"/>
              <c:layout>
                <c:manualLayout>
                  <c:x val="-4.722222222222233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C5-4E0E-AB92-C4AD99CF9B56}"/>
                </c:ext>
              </c:extLst>
            </c:dLbl>
            <c:dLbl>
              <c:idx val="5"/>
              <c:layout>
                <c:manualLayout>
                  <c:x val="-6.666666666666676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C5-4E0E-AB92-C4AD99CF9B56}"/>
                </c:ext>
              </c:extLst>
            </c:dLbl>
            <c:dLbl>
              <c:idx val="6"/>
              <c:layout>
                <c:manualLayout>
                  <c:x val="-5.2777777777777792E-2"/>
                  <c:y val="-2.7777777777778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C5-4E0E-AB92-C4AD99CF9B56}"/>
                </c:ext>
              </c:extLst>
            </c:dLbl>
            <c:dLbl>
              <c:idx val="7"/>
              <c:layout>
                <c:manualLayout>
                  <c:x val="-5.8333333333334604E-2"/>
                  <c:y val="3.2407407407408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C5-4E0E-AB92-C4AD99CF9B56}"/>
                </c:ext>
              </c:extLst>
            </c:dLbl>
            <c:dLbl>
              <c:idx val="8"/>
              <c:layout>
                <c:manualLayout>
                  <c:x val="-5.833333333333454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C5-4E0E-AB92-C4AD99CF9B56}"/>
                </c:ext>
              </c:extLst>
            </c:dLbl>
            <c:dLbl>
              <c:idx val="9"/>
              <c:layout>
                <c:manualLayout>
                  <c:x val="-5.2777777777777882E-2"/>
                  <c:y val="-1.3888888888889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C5-4E0E-AB92-C4AD99CF9B56}"/>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Saude!$A$30:$A$39</c:f>
              <c:strCache>
                <c:ptCount val="10"/>
                <c:pt idx="0">
                  <c:v>Aparelho circulatório</c:v>
                </c:pt>
                <c:pt idx="1">
                  <c:v>Tumores ou neoplasias</c:v>
                </c:pt>
                <c:pt idx="2">
                  <c:v>Sintomas mal defenidos</c:v>
                </c:pt>
                <c:pt idx="3">
                  <c:v>Afecções Respiratórias</c:v>
                </c:pt>
                <c:pt idx="4">
                  <c:v>Infecciosas e parasitarias</c:v>
                </c:pt>
                <c:pt idx="5">
                  <c:v>Afecções perinatais</c:v>
                </c:pt>
                <c:pt idx="6">
                  <c:v>Metab/endoc/nutricionais</c:v>
                </c:pt>
                <c:pt idx="7">
                  <c:v>Doenças do aprarelho digestivo</c:v>
                </c:pt>
                <c:pt idx="8">
                  <c:v>Causas externas</c:v>
                </c:pt>
                <c:pt idx="9">
                  <c:v>Traumatismo/envenenamentos</c:v>
                </c:pt>
              </c:strCache>
            </c:strRef>
          </c:cat>
          <c:val>
            <c:numRef>
              <c:f>Saude!$B$30:$B$39</c:f>
              <c:numCache>
                <c:formatCode>General</c:formatCode>
                <c:ptCount val="10"/>
                <c:pt idx="0">
                  <c:v>151.19999999999999</c:v>
                </c:pt>
                <c:pt idx="1">
                  <c:v>71.900000000000006</c:v>
                </c:pt>
                <c:pt idx="2">
                  <c:v>67.599999999999994</c:v>
                </c:pt>
                <c:pt idx="3">
                  <c:v>43.6</c:v>
                </c:pt>
                <c:pt idx="4">
                  <c:v>37.700000000000003</c:v>
                </c:pt>
                <c:pt idx="5">
                  <c:v>25.5</c:v>
                </c:pt>
                <c:pt idx="6">
                  <c:v>20</c:v>
                </c:pt>
                <c:pt idx="7">
                  <c:v>14.1</c:v>
                </c:pt>
                <c:pt idx="8">
                  <c:v>11.4</c:v>
                </c:pt>
                <c:pt idx="9">
                  <c:v>11.4</c:v>
                </c:pt>
              </c:numCache>
            </c:numRef>
          </c:val>
          <c:smooth val="0"/>
          <c:extLst>
            <c:ext xmlns:c16="http://schemas.microsoft.com/office/drawing/2014/chart" uri="{C3380CC4-5D6E-409C-BE32-E72D297353CC}">
              <c16:uniqueId val="{00000009-8DC5-4E0E-AB92-C4AD99CF9B56}"/>
            </c:ext>
          </c:extLst>
        </c:ser>
        <c:ser>
          <c:idx val="1"/>
          <c:order val="1"/>
          <c:tx>
            <c:strRef>
              <c:f>Saude!$C$29</c:f>
              <c:strCache>
                <c:ptCount val="1"/>
                <c:pt idx="0">
                  <c:v>Homens</c:v>
                </c:pt>
              </c:strCache>
            </c:strRef>
          </c:tx>
          <c:dLbls>
            <c:dLbl>
              <c:idx val="0"/>
              <c:layout>
                <c:manualLayout>
                  <c:x val="-6.1111111111111123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C5-4E0E-AB92-C4AD99CF9B56}"/>
                </c:ext>
              </c:extLst>
            </c:dLbl>
            <c:dLbl>
              <c:idx val="1"/>
              <c:layout>
                <c:manualLayout>
                  <c:x val="-2.2222222222222251E-2"/>
                  <c:y val="-3.7037401574804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DC5-4E0E-AB92-C4AD99CF9B56}"/>
                </c:ext>
              </c:extLst>
            </c:dLbl>
            <c:dLbl>
              <c:idx val="2"/>
              <c:layout>
                <c:manualLayout>
                  <c:x val="-9.1666666666668228E-2"/>
                  <c:y val="2.7777777777778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DC5-4E0E-AB92-C4AD99CF9B56}"/>
                </c:ext>
              </c:extLst>
            </c:dLbl>
            <c:dLbl>
              <c:idx val="3"/>
              <c:layout>
                <c:manualLayout>
                  <c:x val="-3.888888888888889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DC5-4E0E-AB92-C4AD99CF9B56}"/>
                </c:ext>
              </c:extLst>
            </c:dLbl>
            <c:dLbl>
              <c:idx val="4"/>
              <c:layout>
                <c:manualLayout>
                  <c:x val="-4.4444444444444502E-2"/>
                  <c:y val="-5.0925925925925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DC5-4E0E-AB92-C4AD99CF9B56}"/>
                </c:ext>
              </c:extLst>
            </c:dLbl>
            <c:dLbl>
              <c:idx val="5"/>
              <c:layout>
                <c:manualLayout>
                  <c:x val="-4.444444444444456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DC5-4E0E-AB92-C4AD99CF9B56}"/>
                </c:ext>
              </c:extLst>
            </c:dLbl>
            <c:dLbl>
              <c:idx val="6"/>
              <c:layout>
                <c:manualLayout>
                  <c:x val="-5.2777777777777792E-2"/>
                  <c:y val="3.2407407407408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DC5-4E0E-AB92-C4AD99CF9B56}"/>
                </c:ext>
              </c:extLst>
            </c:dLbl>
            <c:dLbl>
              <c:idx val="7"/>
              <c:layout>
                <c:manualLayout>
                  <c:x val="-5.8333333333334604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DC5-4E0E-AB92-C4AD99CF9B56}"/>
                </c:ext>
              </c:extLst>
            </c:dLbl>
            <c:dLbl>
              <c:idx val="8"/>
              <c:layout>
                <c:manualLayout>
                  <c:x val="-5.2777777777777792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DC5-4E0E-AB92-C4AD99CF9B56}"/>
                </c:ext>
              </c:extLst>
            </c:dLbl>
            <c:dLbl>
              <c:idx val="9"/>
              <c:layout>
                <c:manualLayout>
                  <c:x val="-1.1111111111111125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DC5-4E0E-AB92-C4AD99CF9B56}"/>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Saude!$A$30:$A$39</c:f>
              <c:strCache>
                <c:ptCount val="10"/>
                <c:pt idx="0">
                  <c:v>Aparelho circulatório</c:v>
                </c:pt>
                <c:pt idx="1">
                  <c:v>Tumores ou neoplasias</c:v>
                </c:pt>
                <c:pt idx="2">
                  <c:v>Sintomas mal defenidos</c:v>
                </c:pt>
                <c:pt idx="3">
                  <c:v>Afecções Respiratórias</c:v>
                </c:pt>
                <c:pt idx="4">
                  <c:v>Infecciosas e parasitarias</c:v>
                </c:pt>
                <c:pt idx="5">
                  <c:v>Afecções perinatais</c:v>
                </c:pt>
                <c:pt idx="6">
                  <c:v>Metab/endoc/nutricionais</c:v>
                </c:pt>
                <c:pt idx="7">
                  <c:v>Doenças do aprarelho digestivo</c:v>
                </c:pt>
                <c:pt idx="8">
                  <c:v>Causas externas</c:v>
                </c:pt>
                <c:pt idx="9">
                  <c:v>Traumatismo/envenenamentos</c:v>
                </c:pt>
              </c:strCache>
            </c:strRef>
          </c:cat>
          <c:val>
            <c:numRef>
              <c:f>Saude!$C$30:$C$39</c:f>
              <c:numCache>
                <c:formatCode>General</c:formatCode>
                <c:ptCount val="10"/>
                <c:pt idx="0">
                  <c:v>121.7</c:v>
                </c:pt>
                <c:pt idx="1">
                  <c:v>80.400000000000006</c:v>
                </c:pt>
                <c:pt idx="2">
                  <c:v>46.1</c:v>
                </c:pt>
                <c:pt idx="3">
                  <c:v>59.3</c:v>
                </c:pt>
                <c:pt idx="4" formatCode="0.0">
                  <c:v>40.6</c:v>
                </c:pt>
                <c:pt idx="5">
                  <c:v>30.6</c:v>
                </c:pt>
                <c:pt idx="6">
                  <c:v>14.7</c:v>
                </c:pt>
                <c:pt idx="7">
                  <c:v>20.7</c:v>
                </c:pt>
                <c:pt idx="8">
                  <c:v>46.9</c:v>
                </c:pt>
                <c:pt idx="9">
                  <c:v>36.6</c:v>
                </c:pt>
              </c:numCache>
            </c:numRef>
          </c:val>
          <c:smooth val="0"/>
          <c:extLst>
            <c:ext xmlns:c16="http://schemas.microsoft.com/office/drawing/2014/chart" uri="{C3380CC4-5D6E-409C-BE32-E72D297353CC}">
              <c16:uniqueId val="{00000014-8DC5-4E0E-AB92-C4AD99CF9B56}"/>
            </c:ext>
          </c:extLst>
        </c:ser>
        <c:dLbls>
          <c:showLegendKey val="0"/>
          <c:showVal val="0"/>
          <c:showCatName val="0"/>
          <c:showSerName val="0"/>
          <c:showPercent val="0"/>
          <c:showBubbleSize val="0"/>
        </c:dLbls>
        <c:marker val="1"/>
        <c:smooth val="0"/>
        <c:axId val="224440832"/>
        <c:axId val="268607488"/>
      </c:lineChart>
      <c:catAx>
        <c:axId val="224440832"/>
        <c:scaling>
          <c:orientation val="minMax"/>
        </c:scaling>
        <c:delete val="0"/>
        <c:axPos val="b"/>
        <c:numFmt formatCode="General" sourceLinked="0"/>
        <c:majorTickMark val="out"/>
        <c:minorTickMark val="none"/>
        <c:tickLblPos val="nextTo"/>
        <c:txPr>
          <a:bodyPr/>
          <a:lstStyle/>
          <a:p>
            <a:pPr>
              <a:defRPr sz="800"/>
            </a:pPr>
            <a:endParaRPr lang="pt-PT"/>
          </a:p>
        </c:txPr>
        <c:crossAx val="268607488"/>
        <c:crosses val="autoZero"/>
        <c:auto val="1"/>
        <c:lblAlgn val="ctr"/>
        <c:lblOffset val="100"/>
        <c:noMultiLvlLbl val="0"/>
      </c:catAx>
      <c:valAx>
        <c:axId val="268607488"/>
        <c:scaling>
          <c:orientation val="minMax"/>
        </c:scaling>
        <c:delete val="1"/>
        <c:axPos val="l"/>
        <c:numFmt formatCode="General" sourceLinked="1"/>
        <c:majorTickMark val="out"/>
        <c:minorTickMark val="none"/>
        <c:tickLblPos val="none"/>
        <c:crossAx val="224440832"/>
        <c:crosses val="autoZero"/>
        <c:crossBetween val="between"/>
      </c:valAx>
      <c:spPr>
        <a:noFill/>
        <a:ln w="25400">
          <a:noFill/>
        </a:ln>
      </c:spPr>
    </c:plotArea>
    <c:legend>
      <c:legendPos val="r"/>
      <c:layout>
        <c:manualLayout>
          <c:xMode val="edge"/>
          <c:yMode val="edge"/>
          <c:x val="0.36749934383202132"/>
          <c:y val="1.3505030621172361E-2"/>
          <c:w val="0.40750065616797898"/>
          <c:h val="8.8730679498396747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6151315789478E-2"/>
          <c:y val="2.6871782488448428E-2"/>
          <c:w val="0.61341238182101365"/>
          <c:h val="0.93255246527659996"/>
        </c:manualLayout>
      </c:layout>
      <c:barChart>
        <c:barDir val="col"/>
        <c:grouping val="clustered"/>
        <c:varyColors val="0"/>
        <c:ser>
          <c:idx val="0"/>
          <c:order val="0"/>
          <c:tx>
            <c:strRef>
              <c:f>Folha1!$B$1</c:f>
              <c:strCache>
                <c:ptCount val="1"/>
                <c:pt idx="0">
                  <c:v>Sente ciúmes se a mulher falar com outros homens</c:v>
                </c:pt>
              </c:strCache>
            </c:strRef>
          </c:tx>
          <c:invertIfNegative val="0"/>
          <c:dLbls>
            <c:dLbl>
              <c:idx val="0"/>
              <c:layout>
                <c:manualLayout>
                  <c:x val="-2.4509803921568631E-3"/>
                  <c:y val="0.10126582278481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Folha1!$B$2</c:f>
              <c:numCache>
                <c:formatCode>General</c:formatCode>
                <c:ptCount val="1"/>
                <c:pt idx="0">
                  <c:v>44.1</c:v>
                </c:pt>
              </c:numCache>
            </c:numRef>
          </c:val>
          <c:extLst>
            <c:ext xmlns:c16="http://schemas.microsoft.com/office/drawing/2014/chart" uri="{C3380CC4-5D6E-409C-BE32-E72D297353CC}">
              <c16:uniqueId val="{00000001-EE80-44B2-81F7-3C145743B6EE}"/>
            </c:ext>
          </c:extLst>
        </c:ser>
        <c:ser>
          <c:idx val="1"/>
          <c:order val="1"/>
          <c:tx>
            <c:strRef>
              <c:f>Folha1!$C$1</c:f>
              <c:strCache>
                <c:ptCount val="1"/>
                <c:pt idx="0">
                  <c:v>Acusa a mulher de infidelidade</c:v>
                </c:pt>
              </c:strCache>
            </c:strRef>
          </c:tx>
          <c:invertIfNegative val="0"/>
          <c:dLbls>
            <c:dLbl>
              <c:idx val="0"/>
              <c:layout>
                <c:manualLayout>
                  <c:x val="0"/>
                  <c:y val="8.8607594936708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Folha1!$C$2</c:f>
              <c:numCache>
                <c:formatCode>General</c:formatCode>
                <c:ptCount val="1"/>
                <c:pt idx="0">
                  <c:v>17.2</c:v>
                </c:pt>
              </c:numCache>
            </c:numRef>
          </c:val>
          <c:extLst>
            <c:ext xmlns:c16="http://schemas.microsoft.com/office/drawing/2014/chart" uri="{C3380CC4-5D6E-409C-BE32-E72D297353CC}">
              <c16:uniqueId val="{00000003-EE80-44B2-81F7-3C145743B6EE}"/>
            </c:ext>
          </c:extLst>
        </c:ser>
        <c:ser>
          <c:idx val="2"/>
          <c:order val="2"/>
          <c:tx>
            <c:strRef>
              <c:f>Folha1!$D$1</c:f>
              <c:strCache>
                <c:ptCount val="1"/>
                <c:pt idx="0">
                  <c:v>Não deixa a a mulher conviver com outras mulheres / amigas</c:v>
                </c:pt>
              </c:strCache>
            </c:strRef>
          </c:tx>
          <c:invertIfNegative val="0"/>
          <c:dLbls>
            <c:dLbl>
              <c:idx val="0"/>
              <c:layout>
                <c:manualLayout>
                  <c:x val="0"/>
                  <c:y val="0.126582278481012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Folha1!$D$2</c:f>
              <c:numCache>
                <c:formatCode>General</c:formatCode>
                <c:ptCount val="1"/>
                <c:pt idx="0">
                  <c:v>18.3</c:v>
                </c:pt>
              </c:numCache>
            </c:numRef>
          </c:val>
          <c:extLst>
            <c:ext xmlns:c16="http://schemas.microsoft.com/office/drawing/2014/chart" uri="{C3380CC4-5D6E-409C-BE32-E72D297353CC}">
              <c16:uniqueId val="{00000005-EE80-44B2-81F7-3C145743B6EE}"/>
            </c:ext>
          </c:extLst>
        </c:ser>
        <c:ser>
          <c:idx val="3"/>
          <c:order val="3"/>
          <c:tx>
            <c:strRef>
              <c:f>Folha1!$E$1</c:f>
              <c:strCache>
                <c:ptCount val="1"/>
                <c:pt idx="0">
                  <c:v>Tenta limiar o contacto da mulher com a família</c:v>
                </c:pt>
              </c:strCache>
            </c:strRef>
          </c:tx>
          <c:invertIfNegative val="0"/>
          <c:dLbls>
            <c:dLbl>
              <c:idx val="0"/>
              <c:layout>
                <c:manualLayout>
                  <c:x val="4.9019607843139553E-3"/>
                  <c:y val="8.8607594936708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Folha1!$E$2</c:f>
              <c:numCache>
                <c:formatCode>General</c:formatCode>
                <c:ptCount val="1"/>
                <c:pt idx="0">
                  <c:v>7.5</c:v>
                </c:pt>
              </c:numCache>
            </c:numRef>
          </c:val>
          <c:extLst>
            <c:ext xmlns:c16="http://schemas.microsoft.com/office/drawing/2014/chart" uri="{C3380CC4-5D6E-409C-BE32-E72D297353CC}">
              <c16:uniqueId val="{00000007-EE80-44B2-81F7-3C145743B6EE}"/>
            </c:ext>
          </c:extLst>
        </c:ser>
        <c:ser>
          <c:idx val="4"/>
          <c:order val="4"/>
          <c:tx>
            <c:strRef>
              <c:f>Folha1!$F$1</c:f>
              <c:strCache>
                <c:ptCount val="1"/>
                <c:pt idx="0">
                  <c:v>Insiste em saber onde a mulher está a cada momento</c:v>
                </c:pt>
              </c:strCache>
            </c:strRef>
          </c:tx>
          <c:invertIfNegative val="0"/>
          <c:dLbls>
            <c:dLbl>
              <c:idx val="0"/>
              <c:layout>
                <c:manualLayout>
                  <c:x val="4.4934121440074391E-17"/>
                  <c:y val="0.118143459915613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Folha1!$F$2</c:f>
              <c:numCache>
                <c:formatCode>General</c:formatCode>
                <c:ptCount val="1"/>
                <c:pt idx="0">
                  <c:v>42.7</c:v>
                </c:pt>
              </c:numCache>
            </c:numRef>
          </c:val>
          <c:extLst>
            <c:ext xmlns:c16="http://schemas.microsoft.com/office/drawing/2014/chart" uri="{C3380CC4-5D6E-409C-BE32-E72D297353CC}">
              <c16:uniqueId val="{00000009-EE80-44B2-81F7-3C145743B6EE}"/>
            </c:ext>
          </c:extLst>
        </c:ser>
        <c:ser>
          <c:idx val="5"/>
          <c:order val="5"/>
          <c:tx>
            <c:strRef>
              <c:f>Folha1!$G$1</c:f>
              <c:strCache>
                <c:ptCount val="1"/>
                <c:pt idx="0">
                  <c:v>Não tem confiança na mulher quanto ao dinheiro</c:v>
                </c:pt>
              </c:strCache>
            </c:strRef>
          </c:tx>
          <c:invertIfNegative val="0"/>
          <c:dLbls>
            <c:dLbl>
              <c:idx val="0"/>
              <c:layout>
                <c:manualLayout>
                  <c:x val="0"/>
                  <c:y val="0.10970464135021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Folha1!$G$2</c:f>
              <c:numCache>
                <c:formatCode>General</c:formatCode>
                <c:ptCount val="1"/>
                <c:pt idx="0">
                  <c:v>39.1</c:v>
                </c:pt>
              </c:numCache>
            </c:numRef>
          </c:val>
          <c:extLst>
            <c:ext xmlns:c16="http://schemas.microsoft.com/office/drawing/2014/chart" uri="{C3380CC4-5D6E-409C-BE32-E72D297353CC}">
              <c16:uniqueId val="{0000000B-EE80-44B2-81F7-3C145743B6EE}"/>
            </c:ext>
          </c:extLst>
        </c:ser>
        <c:ser>
          <c:idx val="6"/>
          <c:order val="6"/>
          <c:tx>
            <c:strRef>
              <c:f>Folha1!$H$1</c:f>
              <c:strCache>
                <c:ptCount val="1"/>
                <c:pt idx="0">
                  <c:v>Exerce sobre a mulher pelo menos 3 tipos de controlo</c:v>
                </c:pt>
              </c:strCache>
            </c:strRef>
          </c:tx>
          <c:invertIfNegative val="0"/>
          <c:dLbls>
            <c:dLbl>
              <c:idx val="0"/>
              <c:layout>
                <c:manualLayout>
                  <c:x val="0"/>
                  <c:y val="0.10126582278481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Folha1!$H$2</c:f>
              <c:numCache>
                <c:formatCode>General</c:formatCode>
                <c:ptCount val="1"/>
                <c:pt idx="0">
                  <c:v>28.3</c:v>
                </c:pt>
              </c:numCache>
            </c:numRef>
          </c:val>
          <c:extLst>
            <c:ext xmlns:c16="http://schemas.microsoft.com/office/drawing/2014/chart" uri="{C3380CC4-5D6E-409C-BE32-E72D297353CC}">
              <c16:uniqueId val="{0000000D-EE80-44B2-81F7-3C145743B6EE}"/>
            </c:ext>
          </c:extLst>
        </c:ser>
        <c:ser>
          <c:idx val="7"/>
          <c:order val="7"/>
          <c:tx>
            <c:strRef>
              <c:f>Folha1!$I$1</c:f>
              <c:strCache>
                <c:ptCount val="1"/>
                <c:pt idx="0">
                  <c:v>Não exerce nenhum tipo de controlo</c:v>
                </c:pt>
              </c:strCache>
            </c:strRef>
          </c:tx>
          <c:invertIfNegative val="0"/>
          <c:dLbls>
            <c:dLbl>
              <c:idx val="0"/>
              <c:layout>
                <c:manualLayout>
                  <c:x val="0"/>
                  <c:y val="0.12236286919831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E80-44B2-81F7-3C145743B6EE}"/>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c:f>
              <c:strCache>
                <c:ptCount val="1"/>
                <c:pt idx="0">
                  <c:v>Afirmação das Mulheres - %</c:v>
                </c:pt>
              </c:strCache>
            </c:strRef>
          </c:cat>
          <c:val>
            <c:numRef>
              <c:f>Folha1!$I$2</c:f>
              <c:numCache>
                <c:formatCode>General</c:formatCode>
                <c:ptCount val="1"/>
                <c:pt idx="0">
                  <c:v>27.8</c:v>
                </c:pt>
              </c:numCache>
            </c:numRef>
          </c:val>
          <c:extLst>
            <c:ext xmlns:c16="http://schemas.microsoft.com/office/drawing/2014/chart" uri="{C3380CC4-5D6E-409C-BE32-E72D297353CC}">
              <c16:uniqueId val="{0000000F-EE80-44B2-81F7-3C145743B6EE}"/>
            </c:ext>
          </c:extLst>
        </c:ser>
        <c:dLbls>
          <c:showLegendKey val="0"/>
          <c:showVal val="0"/>
          <c:showCatName val="0"/>
          <c:showSerName val="0"/>
          <c:showPercent val="0"/>
          <c:showBubbleSize val="0"/>
        </c:dLbls>
        <c:gapWidth val="150"/>
        <c:axId val="224442880"/>
        <c:axId val="268610368"/>
      </c:barChart>
      <c:catAx>
        <c:axId val="224442880"/>
        <c:scaling>
          <c:orientation val="minMax"/>
        </c:scaling>
        <c:delete val="1"/>
        <c:axPos val="b"/>
        <c:numFmt formatCode="General" sourceLinked="0"/>
        <c:majorTickMark val="out"/>
        <c:minorTickMark val="none"/>
        <c:tickLblPos val="none"/>
        <c:crossAx val="268610368"/>
        <c:crosses val="autoZero"/>
        <c:auto val="1"/>
        <c:lblAlgn val="ctr"/>
        <c:lblOffset val="100"/>
        <c:noMultiLvlLbl val="0"/>
      </c:catAx>
      <c:valAx>
        <c:axId val="268610368"/>
        <c:scaling>
          <c:orientation val="minMax"/>
        </c:scaling>
        <c:delete val="1"/>
        <c:axPos val="l"/>
        <c:numFmt formatCode="General" sourceLinked="1"/>
        <c:majorTickMark val="out"/>
        <c:minorTickMark val="none"/>
        <c:tickLblPos val="none"/>
        <c:crossAx val="224442880"/>
        <c:crosses val="autoZero"/>
        <c:crossBetween val="between"/>
      </c:valAx>
    </c:plotArea>
    <c:legend>
      <c:legendPos val="r"/>
      <c:layout>
        <c:manualLayout>
          <c:xMode val="edge"/>
          <c:yMode val="edge"/>
          <c:x val="0.62645147124434863"/>
          <c:y val="0"/>
          <c:w val="0.37208581720807826"/>
          <c:h val="0.98083920765476584"/>
        </c:manualLayout>
      </c:layout>
      <c:overlay val="0"/>
      <c:txPr>
        <a:bodyPr/>
        <a:lstStyle/>
        <a:p>
          <a:pPr>
            <a:defRPr sz="900"/>
          </a:pPr>
          <a:endParaRPr lang="pt-P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
          <c:y val="5.0925925925925923E-2"/>
          <c:w val="0.89291786957245256"/>
          <c:h val="0.85529308836395468"/>
        </c:manualLayout>
      </c:layout>
      <c:barChart>
        <c:barDir val="col"/>
        <c:grouping val="clustered"/>
        <c:varyColors val="0"/>
        <c:ser>
          <c:idx val="0"/>
          <c:order val="0"/>
          <c:tx>
            <c:strRef>
              <c:f>[graficos.xlsx]Folha1!$C$14</c:f>
              <c:strCache>
                <c:ptCount val="1"/>
                <c:pt idx="0">
                  <c:v>Total</c:v>
                </c:pt>
              </c:strCache>
            </c:strRef>
          </c:tx>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[graficos.xlsx]Folha1!$B$15:$B$18</c:f>
              <c:strCache>
                <c:ptCount val="4"/>
                <c:pt idx="0">
                  <c:v>15-24 anos</c:v>
                </c:pt>
                <c:pt idx="1">
                  <c:v>25-34 anos</c:v>
                </c:pt>
                <c:pt idx="2">
                  <c:v>35-64 anos</c:v>
                </c:pt>
                <c:pt idx="3">
                  <c:v>65 anos e mais</c:v>
                </c:pt>
              </c:strCache>
            </c:strRef>
          </c:cat>
          <c:val>
            <c:numRef>
              <c:f>[graficos.xlsx]Folha1!$C$15:$C$18</c:f>
              <c:numCache>
                <c:formatCode>General</c:formatCode>
                <c:ptCount val="4"/>
                <c:pt idx="0" formatCode="0">
                  <c:v>2.2000000000000002</c:v>
                </c:pt>
                <c:pt idx="1">
                  <c:v>3</c:v>
                </c:pt>
                <c:pt idx="2">
                  <c:v>19</c:v>
                </c:pt>
                <c:pt idx="3">
                  <c:v>64</c:v>
                </c:pt>
              </c:numCache>
            </c:numRef>
          </c:val>
          <c:extLst>
            <c:ext xmlns:c16="http://schemas.microsoft.com/office/drawing/2014/chart" uri="{C3380CC4-5D6E-409C-BE32-E72D297353CC}">
              <c16:uniqueId val="{00000000-3050-476B-BF17-ABCCE8385DB0}"/>
            </c:ext>
          </c:extLst>
        </c:ser>
        <c:ser>
          <c:idx val="1"/>
          <c:order val="1"/>
          <c:tx>
            <c:strRef>
              <c:f>[graficos.xlsx]Folha1!$D$14</c:f>
              <c:strCache>
                <c:ptCount val="1"/>
                <c:pt idx="0">
                  <c:v>Mulheres</c:v>
                </c:pt>
              </c:strCache>
            </c:strRef>
          </c:tx>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[graficos.xlsx]Folha1!$B$15:$B$18</c:f>
              <c:strCache>
                <c:ptCount val="4"/>
                <c:pt idx="0">
                  <c:v>15-24 anos</c:v>
                </c:pt>
                <c:pt idx="1">
                  <c:v>25-34 anos</c:v>
                </c:pt>
                <c:pt idx="2">
                  <c:v>35-64 anos</c:v>
                </c:pt>
                <c:pt idx="3">
                  <c:v>65 anos e mais</c:v>
                </c:pt>
              </c:strCache>
            </c:strRef>
          </c:cat>
          <c:val>
            <c:numRef>
              <c:f>[graficos.xlsx]Folha1!$D$15:$D$18</c:f>
              <c:numCache>
                <c:formatCode>General</c:formatCode>
                <c:ptCount val="4"/>
                <c:pt idx="0" formatCode="0">
                  <c:v>1.6</c:v>
                </c:pt>
                <c:pt idx="1">
                  <c:v>3</c:v>
                </c:pt>
                <c:pt idx="2">
                  <c:v>25</c:v>
                </c:pt>
                <c:pt idx="3">
                  <c:v>76</c:v>
                </c:pt>
              </c:numCache>
            </c:numRef>
          </c:val>
          <c:extLst>
            <c:ext xmlns:c16="http://schemas.microsoft.com/office/drawing/2014/chart" uri="{C3380CC4-5D6E-409C-BE32-E72D297353CC}">
              <c16:uniqueId val="{00000001-3050-476B-BF17-ABCCE8385DB0}"/>
            </c:ext>
          </c:extLst>
        </c:ser>
        <c:ser>
          <c:idx val="2"/>
          <c:order val="2"/>
          <c:tx>
            <c:strRef>
              <c:f>[graficos.xlsx]Folha1!$E$14</c:f>
              <c:strCache>
                <c:ptCount val="1"/>
                <c:pt idx="0">
                  <c:v>Homens</c:v>
                </c:pt>
              </c:strCache>
            </c:strRef>
          </c:tx>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[graficos.xlsx]Folha1!$B$15:$B$18</c:f>
              <c:strCache>
                <c:ptCount val="4"/>
                <c:pt idx="0">
                  <c:v>15-24 anos</c:v>
                </c:pt>
                <c:pt idx="1">
                  <c:v>25-34 anos</c:v>
                </c:pt>
                <c:pt idx="2">
                  <c:v>35-64 anos</c:v>
                </c:pt>
                <c:pt idx="3">
                  <c:v>65 anos e mais</c:v>
                </c:pt>
              </c:strCache>
            </c:strRef>
          </c:cat>
          <c:val>
            <c:numRef>
              <c:f>[graficos.xlsx]Folha1!$E$15:$E$18</c:f>
              <c:numCache>
                <c:formatCode>General</c:formatCode>
                <c:ptCount val="4"/>
                <c:pt idx="0" formatCode="0">
                  <c:v>2.8</c:v>
                </c:pt>
                <c:pt idx="1">
                  <c:v>3</c:v>
                </c:pt>
                <c:pt idx="2">
                  <c:v>12</c:v>
                </c:pt>
                <c:pt idx="3">
                  <c:v>46</c:v>
                </c:pt>
              </c:numCache>
            </c:numRef>
          </c:val>
          <c:extLst>
            <c:ext xmlns:c16="http://schemas.microsoft.com/office/drawing/2014/chart" uri="{C3380CC4-5D6E-409C-BE32-E72D297353CC}">
              <c16:uniqueId val="{00000002-3050-476B-BF17-ABCCE8385DB0}"/>
            </c:ext>
          </c:extLst>
        </c:ser>
        <c:dLbls>
          <c:showLegendKey val="0"/>
          <c:showVal val="0"/>
          <c:showCatName val="0"/>
          <c:showSerName val="0"/>
          <c:showPercent val="0"/>
          <c:showBubbleSize val="0"/>
        </c:dLbls>
        <c:gapWidth val="150"/>
        <c:axId val="281861120"/>
        <c:axId val="268612096"/>
      </c:barChart>
      <c:catAx>
        <c:axId val="281861120"/>
        <c:scaling>
          <c:orientation val="minMax"/>
        </c:scaling>
        <c:delete val="0"/>
        <c:axPos val="b"/>
        <c:numFmt formatCode="General" sourceLinked="0"/>
        <c:majorTickMark val="out"/>
        <c:minorTickMark val="none"/>
        <c:tickLblPos val="nextTo"/>
        <c:txPr>
          <a:bodyPr/>
          <a:lstStyle/>
          <a:p>
            <a:pPr>
              <a:defRPr sz="800"/>
            </a:pPr>
            <a:endParaRPr lang="pt-PT"/>
          </a:p>
        </c:txPr>
        <c:crossAx val="268612096"/>
        <c:crosses val="autoZero"/>
        <c:auto val="1"/>
        <c:lblAlgn val="ctr"/>
        <c:lblOffset val="100"/>
        <c:noMultiLvlLbl val="0"/>
      </c:catAx>
      <c:valAx>
        <c:axId val="268612096"/>
        <c:scaling>
          <c:orientation val="minMax"/>
        </c:scaling>
        <c:delete val="1"/>
        <c:axPos val="l"/>
        <c:numFmt formatCode="0" sourceLinked="1"/>
        <c:majorTickMark val="out"/>
        <c:minorTickMark val="none"/>
        <c:tickLblPos val="none"/>
        <c:crossAx val="281861120"/>
        <c:crosses val="autoZero"/>
        <c:crossBetween val="between"/>
      </c:valAx>
    </c:plotArea>
    <c:legend>
      <c:legendPos val="r"/>
      <c:layout>
        <c:manualLayout>
          <c:xMode val="edge"/>
          <c:yMode val="edge"/>
          <c:x val="4.2542432195975512E-2"/>
          <c:y val="1.3312919218431161E-2"/>
          <c:w val="0.31606183983100067"/>
          <c:h val="0.4263481838186132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0157200722745875"/>
          <c:y val="7.4240108240956042E-3"/>
          <c:w val="0.72972700989775197"/>
          <c:h val="0.90371393216958273"/>
        </c:manualLayout>
      </c:layout>
      <c:barChart>
        <c:barDir val="col"/>
        <c:grouping val="clustered"/>
        <c:varyColors val="0"/>
        <c:ser>
          <c:idx val="0"/>
          <c:order val="0"/>
          <c:tx>
            <c:strRef>
              <c:f>Folha1!$E$5</c:f>
              <c:strCache>
                <c:ptCount val="1"/>
                <c:pt idx="0">
                  <c:v>Total</c:v>
                </c:pt>
              </c:strCache>
            </c:strRef>
          </c:tx>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Folha1!$D$6:$D$8</c:f>
              <c:strCache>
                <c:ptCount val="3"/>
                <c:pt idx="0">
                  <c:v>Total</c:v>
                </c:pt>
                <c:pt idx="1">
                  <c:v>Urbano</c:v>
                </c:pt>
                <c:pt idx="2">
                  <c:v>Rural</c:v>
                </c:pt>
              </c:strCache>
            </c:strRef>
          </c:cat>
          <c:val>
            <c:numRef>
              <c:f>Folha1!$E$6:$E$8</c:f>
              <c:numCache>
                <c:formatCode>0</c:formatCode>
                <c:ptCount val="3"/>
                <c:pt idx="0">
                  <c:v>12.8</c:v>
                </c:pt>
                <c:pt idx="1">
                  <c:v>10.1</c:v>
                </c:pt>
                <c:pt idx="2">
                  <c:v>17.899999999999999</c:v>
                </c:pt>
              </c:numCache>
            </c:numRef>
          </c:val>
          <c:extLst>
            <c:ext xmlns:c16="http://schemas.microsoft.com/office/drawing/2014/chart" uri="{C3380CC4-5D6E-409C-BE32-E72D297353CC}">
              <c16:uniqueId val="{00000000-EE1B-4241-9118-F9868C78152D}"/>
            </c:ext>
          </c:extLst>
        </c:ser>
        <c:ser>
          <c:idx val="1"/>
          <c:order val="1"/>
          <c:tx>
            <c:strRef>
              <c:f>Folha1!$F$5</c:f>
              <c:strCache>
                <c:ptCount val="1"/>
                <c:pt idx="0">
                  <c:v>Mulheres</c:v>
                </c:pt>
              </c:strCache>
            </c:strRef>
          </c:tx>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Folha1!$D$6:$D$8</c:f>
              <c:strCache>
                <c:ptCount val="3"/>
                <c:pt idx="0">
                  <c:v>Total</c:v>
                </c:pt>
                <c:pt idx="1">
                  <c:v>Urbano</c:v>
                </c:pt>
                <c:pt idx="2">
                  <c:v>Rural</c:v>
                </c:pt>
              </c:strCache>
            </c:strRef>
          </c:cat>
          <c:val>
            <c:numRef>
              <c:f>Folha1!$F$6:$F$8</c:f>
              <c:numCache>
                <c:formatCode>0</c:formatCode>
                <c:ptCount val="3"/>
                <c:pt idx="0">
                  <c:v>16.600000000000001</c:v>
                </c:pt>
                <c:pt idx="1">
                  <c:v>13.2</c:v>
                </c:pt>
                <c:pt idx="2">
                  <c:v>23</c:v>
                </c:pt>
              </c:numCache>
            </c:numRef>
          </c:val>
          <c:extLst>
            <c:ext xmlns:c16="http://schemas.microsoft.com/office/drawing/2014/chart" uri="{C3380CC4-5D6E-409C-BE32-E72D297353CC}">
              <c16:uniqueId val="{00000001-EE1B-4241-9118-F9868C78152D}"/>
            </c:ext>
          </c:extLst>
        </c:ser>
        <c:ser>
          <c:idx val="2"/>
          <c:order val="2"/>
          <c:tx>
            <c:strRef>
              <c:f>Folha1!$G$5</c:f>
              <c:strCache>
                <c:ptCount val="1"/>
                <c:pt idx="0">
                  <c:v>Homens</c:v>
                </c:pt>
              </c:strCache>
            </c:strRef>
          </c:tx>
          <c:invertIfNegative val="0"/>
          <c:dLbls>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Folha1!$D$6:$D$8</c:f>
              <c:strCache>
                <c:ptCount val="3"/>
                <c:pt idx="0">
                  <c:v>Total</c:v>
                </c:pt>
                <c:pt idx="1">
                  <c:v>Urbano</c:v>
                </c:pt>
                <c:pt idx="2">
                  <c:v>Rural</c:v>
                </c:pt>
              </c:strCache>
            </c:strRef>
          </c:cat>
          <c:val>
            <c:numRef>
              <c:f>Folha1!$G$6:$G$8</c:f>
              <c:numCache>
                <c:formatCode>0</c:formatCode>
                <c:ptCount val="3"/>
                <c:pt idx="0">
                  <c:v>9</c:v>
                </c:pt>
                <c:pt idx="1">
                  <c:v>7</c:v>
                </c:pt>
                <c:pt idx="2">
                  <c:v>12.6</c:v>
                </c:pt>
              </c:numCache>
            </c:numRef>
          </c:val>
          <c:extLst>
            <c:ext xmlns:c16="http://schemas.microsoft.com/office/drawing/2014/chart" uri="{C3380CC4-5D6E-409C-BE32-E72D297353CC}">
              <c16:uniqueId val="{00000002-EE1B-4241-9118-F9868C78152D}"/>
            </c:ext>
          </c:extLst>
        </c:ser>
        <c:dLbls>
          <c:showLegendKey val="0"/>
          <c:showVal val="0"/>
          <c:showCatName val="0"/>
          <c:showSerName val="0"/>
          <c:showPercent val="0"/>
          <c:showBubbleSize val="0"/>
        </c:dLbls>
        <c:gapWidth val="150"/>
        <c:axId val="224440320"/>
        <c:axId val="268613824"/>
      </c:barChart>
      <c:catAx>
        <c:axId val="224440320"/>
        <c:scaling>
          <c:orientation val="minMax"/>
        </c:scaling>
        <c:delete val="0"/>
        <c:axPos val="b"/>
        <c:numFmt formatCode="General" sourceLinked="0"/>
        <c:majorTickMark val="out"/>
        <c:minorTickMark val="none"/>
        <c:tickLblPos val="nextTo"/>
        <c:txPr>
          <a:bodyPr/>
          <a:lstStyle/>
          <a:p>
            <a:pPr>
              <a:defRPr sz="800"/>
            </a:pPr>
            <a:endParaRPr lang="pt-PT"/>
          </a:p>
        </c:txPr>
        <c:crossAx val="268613824"/>
        <c:crosses val="autoZero"/>
        <c:auto val="1"/>
        <c:lblAlgn val="ctr"/>
        <c:lblOffset val="100"/>
        <c:noMultiLvlLbl val="0"/>
      </c:catAx>
      <c:valAx>
        <c:axId val="268613824"/>
        <c:scaling>
          <c:orientation val="minMax"/>
        </c:scaling>
        <c:delete val="1"/>
        <c:axPos val="l"/>
        <c:numFmt formatCode="0" sourceLinked="1"/>
        <c:majorTickMark val="out"/>
        <c:minorTickMark val="none"/>
        <c:tickLblPos val="none"/>
        <c:crossAx val="224440320"/>
        <c:crosses val="autoZero"/>
        <c:crossBetween val="between"/>
      </c:valAx>
    </c:plotArea>
    <c:legend>
      <c:legendPos val="r"/>
      <c:layout>
        <c:manualLayout>
          <c:xMode val="edge"/>
          <c:yMode val="edge"/>
          <c:x val="0.79449308184013556"/>
          <c:y val="4.470399442512963E-2"/>
          <c:w val="0.20201603012304767"/>
          <c:h val="0.75566000475909778"/>
        </c:manualLayout>
      </c:layout>
      <c:overlay val="0"/>
      <c:txPr>
        <a:bodyPr/>
        <a:lstStyle/>
        <a:p>
          <a:pPr>
            <a:defRPr sz="800"/>
          </a:pPr>
          <a:endParaRPr lang="pt-PT"/>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1504792607381"/>
          <c:y val="2.5616507480134099E-2"/>
          <c:w val="0.46424767956059076"/>
          <c:h val="0.97438349251988321"/>
        </c:manualLayout>
      </c:layout>
      <c:pieChart>
        <c:varyColors val="1"/>
        <c:ser>
          <c:idx val="0"/>
          <c:order val="0"/>
          <c:dLbls>
            <c:dLbl>
              <c:idx val="2"/>
              <c:layout>
                <c:manualLayout>
                  <c:x val="-7.4924238520618594E-2"/>
                  <c:y val="-5.9487331374765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11-4676-A26F-FBC7C857C0E1}"/>
                </c:ext>
              </c:extLst>
            </c:dLbl>
            <c:dLbl>
              <c:idx val="3"/>
              <c:layout>
                <c:manualLayout>
                  <c:x val="0.11063233644840419"/>
                  <c:y val="0.157095598884099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11-4676-A26F-FBC7C857C0E1}"/>
                </c:ext>
              </c:extLst>
            </c:dLbl>
            <c:spPr>
              <a:noFill/>
              <a:ln>
                <a:noFill/>
              </a:ln>
              <a:effectLst/>
            </c:spPr>
            <c:txPr>
              <a:bodyPr/>
              <a:lstStyle/>
              <a:p>
                <a:pPr>
                  <a:defRPr sz="800"/>
                </a:pPr>
                <a:endParaRPr lang="pt-PT"/>
              </a:p>
            </c:txPr>
            <c:showLegendKey val="0"/>
            <c:showVal val="1"/>
            <c:showCatName val="0"/>
            <c:showSerName val="0"/>
            <c:showPercent val="0"/>
            <c:showBubbleSize val="0"/>
            <c:showLeaderLines val="1"/>
            <c:extLst>
              <c:ext xmlns:c15="http://schemas.microsoft.com/office/drawing/2012/chart" uri="{CE6537A1-D6FC-4f65-9D91-7224C49458BB}"/>
            </c:extLst>
          </c:dLbls>
          <c:cat>
            <c:strRef>
              <c:f>Educação!$L$55:$L$58</c:f>
              <c:strCache>
                <c:ptCount val="4"/>
                <c:pt idx="0">
                  <c:v>0-2 anos</c:v>
                </c:pt>
                <c:pt idx="1">
                  <c:v>3 anos</c:v>
                </c:pt>
                <c:pt idx="2">
                  <c:v>4 anos</c:v>
                </c:pt>
                <c:pt idx="3">
                  <c:v>5 anos</c:v>
                </c:pt>
              </c:strCache>
            </c:strRef>
          </c:cat>
          <c:val>
            <c:numRef>
              <c:f>Educação!$M$55:$M$58</c:f>
              <c:numCache>
                <c:formatCode>0.0</c:formatCode>
                <c:ptCount val="4"/>
                <c:pt idx="0">
                  <c:v>8.9379648104480367</c:v>
                </c:pt>
                <c:pt idx="1">
                  <c:v>16.474696172682727</c:v>
                </c:pt>
                <c:pt idx="2">
                  <c:v>35.380010883365998</c:v>
                </c:pt>
                <c:pt idx="3">
                  <c:v>39.207328133502628</c:v>
                </c:pt>
              </c:numCache>
            </c:numRef>
          </c:val>
          <c:extLst>
            <c:ext xmlns:c16="http://schemas.microsoft.com/office/drawing/2014/chart" uri="{C3380CC4-5D6E-409C-BE32-E72D297353CC}">
              <c16:uniqueId val="{00000002-7711-4676-A26F-FBC7C857C0E1}"/>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pt-PT"/>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82E-2"/>
          <c:y val="4.4176706827309523E-2"/>
          <c:w val="0.95948600174978127"/>
          <c:h val="0.91164658634538165"/>
        </c:manualLayout>
      </c:layout>
      <c:lineChart>
        <c:grouping val="standard"/>
        <c:varyColors val="0"/>
        <c:ser>
          <c:idx val="0"/>
          <c:order val="0"/>
          <c:tx>
            <c:strRef>
              <c:f>'Compar Popul. e Matric. Nacion '!$Z$84</c:f>
              <c:strCache>
                <c:ptCount val="1"/>
                <c:pt idx="0">
                  <c:v>M</c:v>
                </c:pt>
              </c:strCache>
            </c:strRef>
          </c:tx>
          <c:dLbls>
            <c:dLbl>
              <c:idx val="0"/>
              <c:layout>
                <c:manualLayout>
                  <c:x val="-6.7526089625537133E-2"/>
                  <c:y val="8.9903132233839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56-4021-BC11-53F1D305960A}"/>
                </c:ext>
              </c:extLst>
            </c:dLbl>
            <c:dLbl>
              <c:idx val="1"/>
              <c:layout>
                <c:manualLayout>
                  <c:x val="-0.10128913443830574"/>
                  <c:y val="6.2240630008042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56-4021-BC11-53F1D305960A}"/>
                </c:ext>
              </c:extLst>
            </c:dLbl>
            <c:dLbl>
              <c:idx val="2"/>
              <c:layout>
                <c:manualLayout>
                  <c:x val="-1.2277470841006811E-2"/>
                  <c:y val="6.9156255564491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56-4021-BC11-53F1D305960A}"/>
                </c:ext>
              </c:extLst>
            </c:dLbl>
            <c:dLbl>
              <c:idx val="3"/>
              <c:delete val="1"/>
              <c:extLst>
                <c:ext xmlns:c15="http://schemas.microsoft.com/office/drawing/2012/chart" uri="{CE6537A1-D6FC-4f65-9D91-7224C49458BB}"/>
                <c:ext xmlns:c16="http://schemas.microsoft.com/office/drawing/2014/chart" uri="{C3380CC4-5D6E-409C-BE32-E72D297353CC}">
                  <c16:uniqueId val="{00000003-DB56-4021-BC11-53F1D305960A}"/>
                </c:ext>
              </c:extLst>
            </c:dLbl>
            <c:dLbl>
              <c:idx val="4"/>
              <c:layout>
                <c:manualLayout>
                  <c:x val="-4.2971147943523733E-2"/>
                  <c:y val="0.11065000890318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56-4021-BC11-53F1D305960A}"/>
                </c:ext>
              </c:extLst>
            </c:dLbl>
            <c:dLbl>
              <c:idx val="5"/>
              <c:layout>
                <c:manualLayout>
                  <c:x val="-6.1387354205033814E-2"/>
                  <c:y val="8.9903132233839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56-4021-BC11-53F1D305960A}"/>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 Popul. e Matric. Nacion '!$Y$85:$Y$90</c:f>
              <c:strCache>
                <c:ptCount val="6"/>
                <c:pt idx="0">
                  <c:v>6 anos</c:v>
                </c:pt>
                <c:pt idx="1">
                  <c:v>7 anos</c:v>
                </c:pt>
                <c:pt idx="2">
                  <c:v>8 anos</c:v>
                </c:pt>
                <c:pt idx="3">
                  <c:v>9 anos</c:v>
                </c:pt>
                <c:pt idx="4">
                  <c:v>10 anos</c:v>
                </c:pt>
                <c:pt idx="5">
                  <c:v>11 anos</c:v>
                </c:pt>
              </c:strCache>
            </c:strRef>
          </c:cat>
          <c:val>
            <c:numRef>
              <c:f>'Compar Popul. e Matric. Nacion '!$Z$85:$Z$90</c:f>
              <c:numCache>
                <c:formatCode>0.0</c:formatCode>
                <c:ptCount val="6"/>
                <c:pt idx="0">
                  <c:v>5.4633396672468644</c:v>
                </c:pt>
                <c:pt idx="1">
                  <c:v>2.5487486375657538</c:v>
                </c:pt>
                <c:pt idx="2">
                  <c:v>2.1466854619241267</c:v>
                </c:pt>
                <c:pt idx="3">
                  <c:v>5.4972252464063756</c:v>
                </c:pt>
                <c:pt idx="4">
                  <c:v>9.0936626289414928</c:v>
                </c:pt>
                <c:pt idx="5">
                  <c:v>6.9043038701014217</c:v>
                </c:pt>
              </c:numCache>
            </c:numRef>
          </c:val>
          <c:smooth val="0"/>
          <c:extLst>
            <c:ext xmlns:c16="http://schemas.microsoft.com/office/drawing/2014/chart" uri="{C3380CC4-5D6E-409C-BE32-E72D297353CC}">
              <c16:uniqueId val="{00000006-DB56-4021-BC11-53F1D305960A}"/>
            </c:ext>
          </c:extLst>
        </c:ser>
        <c:ser>
          <c:idx val="1"/>
          <c:order val="1"/>
          <c:tx>
            <c:strRef>
              <c:f>'Compar Popul. e Matric. Nacion '!$AB$84</c:f>
              <c:strCache>
                <c:ptCount val="1"/>
                <c:pt idx="0">
                  <c:v>F</c:v>
                </c:pt>
              </c:strCache>
            </c:strRef>
          </c:tx>
          <c:dLbls>
            <c:dLbl>
              <c:idx val="0"/>
              <c:layout>
                <c:manualLayout>
                  <c:x val="-7.6734192756292202E-2"/>
                  <c:y val="-0.103734383346738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56-4021-BC11-53F1D305960A}"/>
                </c:ext>
              </c:extLst>
            </c:dLbl>
            <c:dLbl>
              <c:idx val="1"/>
              <c:layout>
                <c:manualLayout>
                  <c:x val="-6.1387354205033814E-2"/>
                  <c:y val="-0.11065000890318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56-4021-BC11-53F1D305960A}"/>
                </c:ext>
              </c:extLst>
            </c:dLbl>
            <c:dLbl>
              <c:idx val="2"/>
              <c:layout>
                <c:manualLayout>
                  <c:x val="-7.0595457335788911E-2"/>
                  <c:y val="-0.11065000890318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56-4021-BC11-53F1D305960A}"/>
                </c:ext>
              </c:extLst>
            </c:dLbl>
            <c:dLbl>
              <c:idx val="3"/>
              <c:layout>
                <c:manualLayout>
                  <c:x val="-1.9886017168376683E-2"/>
                  <c:y val="4.2325237630780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B56-4021-BC11-53F1D305960A}"/>
                </c:ext>
              </c:extLst>
            </c:dLbl>
            <c:dLbl>
              <c:idx val="5"/>
              <c:layout>
                <c:manualLayout>
                  <c:x val="-2.7624309392265192E-2"/>
                  <c:y val="-0.11065000890318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56-4021-BC11-53F1D305960A}"/>
                </c:ext>
              </c:extLst>
            </c:dLbl>
            <c:spPr>
              <a:noFill/>
              <a:ln>
                <a:noFill/>
              </a:ln>
              <a:effectLst/>
            </c:spPr>
            <c:txPr>
              <a:bodyPr/>
              <a:lstStyle/>
              <a:p>
                <a:pPr>
                  <a:defRPr sz="800"/>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'Compar Popul. e Matric. Nacion '!$Y$85:$Y$90</c:f>
              <c:strCache>
                <c:ptCount val="6"/>
                <c:pt idx="0">
                  <c:v>6 anos</c:v>
                </c:pt>
                <c:pt idx="1">
                  <c:v>7 anos</c:v>
                </c:pt>
                <c:pt idx="2">
                  <c:v>8 anos</c:v>
                </c:pt>
                <c:pt idx="3">
                  <c:v>9 anos</c:v>
                </c:pt>
                <c:pt idx="4">
                  <c:v>10 anos</c:v>
                </c:pt>
                <c:pt idx="5">
                  <c:v>11 anos</c:v>
                </c:pt>
              </c:strCache>
            </c:strRef>
          </c:cat>
          <c:val>
            <c:numRef>
              <c:f>'Compar Popul. e Matric. Nacion '!$AB$85:$AB$90</c:f>
              <c:numCache>
                <c:formatCode>0.0</c:formatCode>
                <c:ptCount val="6"/>
                <c:pt idx="0">
                  <c:v>7.5608347886923877</c:v>
                </c:pt>
                <c:pt idx="1">
                  <c:v>7.546092097017989</c:v>
                </c:pt>
                <c:pt idx="2">
                  <c:v>5.2388174877084905</c:v>
                </c:pt>
                <c:pt idx="3">
                  <c:v>4.7104350395960655</c:v>
                </c:pt>
                <c:pt idx="4">
                  <c:v>13.738255844300648</c:v>
                </c:pt>
                <c:pt idx="5">
                  <c:v>9.9243620007720139</c:v>
                </c:pt>
              </c:numCache>
            </c:numRef>
          </c:val>
          <c:smooth val="0"/>
          <c:extLst>
            <c:ext xmlns:c16="http://schemas.microsoft.com/office/drawing/2014/chart" uri="{C3380CC4-5D6E-409C-BE32-E72D297353CC}">
              <c16:uniqueId val="{0000000C-DB56-4021-BC11-53F1D305960A}"/>
            </c:ext>
          </c:extLst>
        </c:ser>
        <c:dLbls>
          <c:showLegendKey val="0"/>
          <c:showVal val="0"/>
          <c:showCatName val="0"/>
          <c:showSerName val="0"/>
          <c:showPercent val="0"/>
          <c:showBubbleSize val="0"/>
        </c:dLbls>
        <c:marker val="1"/>
        <c:smooth val="0"/>
        <c:axId val="224442368"/>
        <c:axId val="285623424"/>
      </c:lineChart>
      <c:catAx>
        <c:axId val="224442368"/>
        <c:scaling>
          <c:orientation val="minMax"/>
        </c:scaling>
        <c:delete val="0"/>
        <c:axPos val="b"/>
        <c:numFmt formatCode="General" sourceLinked="0"/>
        <c:majorTickMark val="out"/>
        <c:minorTickMark val="none"/>
        <c:tickLblPos val="nextTo"/>
        <c:txPr>
          <a:bodyPr/>
          <a:lstStyle/>
          <a:p>
            <a:pPr>
              <a:defRPr sz="800"/>
            </a:pPr>
            <a:endParaRPr lang="pt-PT"/>
          </a:p>
        </c:txPr>
        <c:crossAx val="285623424"/>
        <c:crosses val="autoZero"/>
        <c:auto val="1"/>
        <c:lblAlgn val="ctr"/>
        <c:lblOffset val="100"/>
        <c:noMultiLvlLbl val="0"/>
      </c:catAx>
      <c:valAx>
        <c:axId val="285623424"/>
        <c:scaling>
          <c:orientation val="minMax"/>
        </c:scaling>
        <c:delete val="1"/>
        <c:axPos val="l"/>
        <c:numFmt formatCode="0.0" sourceLinked="1"/>
        <c:majorTickMark val="out"/>
        <c:minorTickMark val="none"/>
        <c:tickLblPos val="none"/>
        <c:crossAx val="224442368"/>
        <c:crosses val="autoZero"/>
        <c:crossBetween val="between"/>
      </c:valAx>
    </c:plotArea>
    <c:legend>
      <c:legendPos val="r"/>
      <c:layout>
        <c:manualLayout>
          <c:xMode val="edge"/>
          <c:yMode val="edge"/>
          <c:x val="2.0597112860892396E-2"/>
          <c:y val="2.7703886411788885E-2"/>
          <c:w val="0.35440288713911766"/>
          <c:h val="0.2178664263352658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3.0555555555555582E-2"/>
          <c:y val="5.0925925925925923E-2"/>
          <c:w val="0.83143132108486451"/>
          <c:h val="0.80506124234471421"/>
        </c:manualLayout>
      </c:layout>
      <c:barChart>
        <c:barDir val="col"/>
        <c:grouping val="percentStacked"/>
        <c:varyColors val="0"/>
        <c:ser>
          <c:idx val="0"/>
          <c:order val="0"/>
          <c:tx>
            <c:strRef>
              <c:f>Folha2!$K$12</c:f>
              <c:strCache>
                <c:ptCount val="1"/>
                <c:pt idx="0">
                  <c:v>Mulheres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Folha2!$J$13:$J$17</c:f>
              <c:strCache>
                <c:ptCount val="5"/>
                <c:pt idx="0">
                  <c:v>Ensino pré-escolar</c:v>
                </c:pt>
                <c:pt idx="1">
                  <c:v>Ensino básico</c:v>
                </c:pt>
                <c:pt idx="2">
                  <c:v>Ensino secundário </c:v>
                </c:pt>
                <c:pt idx="3">
                  <c:v>Ensino superior</c:v>
                </c:pt>
                <c:pt idx="4">
                  <c:v>Mestres/dout. (E. Sup.)</c:v>
                </c:pt>
              </c:strCache>
            </c:strRef>
          </c:cat>
          <c:val>
            <c:numRef>
              <c:f>Folha2!$K$13:$K$17</c:f>
              <c:numCache>
                <c:formatCode>General</c:formatCode>
                <c:ptCount val="5"/>
                <c:pt idx="0">
                  <c:v>100</c:v>
                </c:pt>
                <c:pt idx="1">
                  <c:v>67.599999999999994</c:v>
                </c:pt>
                <c:pt idx="2">
                  <c:v>43</c:v>
                </c:pt>
                <c:pt idx="3">
                  <c:v>37</c:v>
                </c:pt>
                <c:pt idx="4">
                  <c:v>50.4</c:v>
                </c:pt>
              </c:numCache>
            </c:numRef>
          </c:val>
          <c:extLst>
            <c:ext xmlns:c16="http://schemas.microsoft.com/office/drawing/2014/chart" uri="{C3380CC4-5D6E-409C-BE32-E72D297353CC}">
              <c16:uniqueId val="{00000000-42DF-4A59-B25A-F579AE8A01AC}"/>
            </c:ext>
          </c:extLst>
        </c:ser>
        <c:ser>
          <c:idx val="1"/>
          <c:order val="1"/>
          <c:tx>
            <c:strRef>
              <c:f>Folha2!$L$12</c:f>
              <c:strCache>
                <c:ptCount val="1"/>
                <c:pt idx="0">
                  <c:v>Homens</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2DF-4A59-B25A-F579AE8A01A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Folha2!$J$13:$J$17</c:f>
              <c:strCache>
                <c:ptCount val="5"/>
                <c:pt idx="0">
                  <c:v>Ensino pré-escolar</c:v>
                </c:pt>
                <c:pt idx="1">
                  <c:v>Ensino básico</c:v>
                </c:pt>
                <c:pt idx="2">
                  <c:v>Ensino secundário </c:v>
                </c:pt>
                <c:pt idx="3">
                  <c:v>Ensino superior</c:v>
                </c:pt>
                <c:pt idx="4">
                  <c:v>Mestres/dout. (E. Sup.)</c:v>
                </c:pt>
              </c:strCache>
            </c:strRef>
          </c:cat>
          <c:val>
            <c:numRef>
              <c:f>Folha2!$L$13:$L$17</c:f>
              <c:numCache>
                <c:formatCode>General</c:formatCode>
                <c:ptCount val="5"/>
                <c:pt idx="0">
                  <c:v>0</c:v>
                </c:pt>
                <c:pt idx="1">
                  <c:v>32.4</c:v>
                </c:pt>
                <c:pt idx="2">
                  <c:v>57</c:v>
                </c:pt>
                <c:pt idx="3">
                  <c:v>63</c:v>
                </c:pt>
                <c:pt idx="4">
                  <c:v>58.1</c:v>
                </c:pt>
              </c:numCache>
            </c:numRef>
          </c:val>
          <c:extLst>
            <c:ext xmlns:c16="http://schemas.microsoft.com/office/drawing/2014/chart" uri="{C3380CC4-5D6E-409C-BE32-E72D297353CC}">
              <c16:uniqueId val="{00000002-42DF-4A59-B25A-F579AE8A01AC}"/>
            </c:ext>
          </c:extLst>
        </c:ser>
        <c:dLbls>
          <c:showLegendKey val="0"/>
          <c:showVal val="0"/>
          <c:showCatName val="0"/>
          <c:showSerName val="0"/>
          <c:showPercent val="0"/>
          <c:showBubbleSize val="0"/>
        </c:dLbls>
        <c:gapWidth val="150"/>
        <c:overlap val="100"/>
        <c:axId val="224441344"/>
        <c:axId val="285625728"/>
      </c:barChart>
      <c:catAx>
        <c:axId val="224441344"/>
        <c:scaling>
          <c:orientation val="minMax"/>
        </c:scaling>
        <c:delete val="0"/>
        <c:axPos val="b"/>
        <c:numFmt formatCode="General" sourceLinked="0"/>
        <c:majorTickMark val="out"/>
        <c:minorTickMark val="none"/>
        <c:tickLblPos val="nextTo"/>
        <c:txPr>
          <a:bodyPr/>
          <a:lstStyle/>
          <a:p>
            <a:pPr>
              <a:defRPr sz="800"/>
            </a:pPr>
            <a:endParaRPr lang="pt-PT"/>
          </a:p>
        </c:txPr>
        <c:crossAx val="285625728"/>
        <c:crosses val="autoZero"/>
        <c:auto val="1"/>
        <c:lblAlgn val="ctr"/>
        <c:lblOffset val="100"/>
        <c:noMultiLvlLbl val="0"/>
      </c:catAx>
      <c:valAx>
        <c:axId val="285625728"/>
        <c:scaling>
          <c:orientation val="minMax"/>
        </c:scaling>
        <c:delete val="1"/>
        <c:axPos val="l"/>
        <c:numFmt formatCode="0%" sourceLinked="1"/>
        <c:majorTickMark val="out"/>
        <c:minorTickMark val="none"/>
        <c:tickLblPos val="none"/>
        <c:crossAx val="224441344"/>
        <c:crosses val="autoZero"/>
        <c:crossBetween val="between"/>
      </c:valAx>
    </c:plotArea>
    <c:legend>
      <c:legendPos val="r"/>
      <c:layout>
        <c:manualLayout>
          <c:xMode val="edge"/>
          <c:yMode val="edge"/>
          <c:x val="0.82865354330708663"/>
          <c:y val="9.2208734324876071E-2"/>
          <c:w val="0.15467979002624671"/>
          <c:h val="0.49150845727617382"/>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2.9567804024496942E-2"/>
          <c:y val="1.3888888888889129E-2"/>
          <c:w val="0.95186351706036743"/>
          <c:h val="0.85598716827063259"/>
        </c:manualLayout>
      </c:layout>
      <c:barChart>
        <c:barDir val="col"/>
        <c:grouping val="clustered"/>
        <c:varyColors val="0"/>
        <c:ser>
          <c:idx val="0"/>
          <c:order val="0"/>
          <c:tx>
            <c:strRef>
              <c:f>Folha2!$F$13</c:f>
              <c:strCache>
                <c:ptCount val="1"/>
                <c:pt idx="0">
                  <c:v>Mulheres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Folha2!$E$14:$E$18</c:f>
              <c:strCache>
                <c:ptCount val="5"/>
                <c:pt idx="0">
                  <c:v>Ministério</c:v>
                </c:pt>
                <c:pt idx="1">
                  <c:v>Delegado(a)s</c:v>
                </c:pt>
                <c:pt idx="2">
                  <c:v>Director(a) ES</c:v>
                </c:pt>
                <c:pt idx="3">
                  <c:v>Coordenadores pedag.</c:v>
                </c:pt>
                <c:pt idx="4">
                  <c:v>Gestores pólos</c:v>
                </c:pt>
              </c:strCache>
            </c:strRef>
          </c:cat>
          <c:val>
            <c:numRef>
              <c:f>Folha2!$F$14:$F$18</c:f>
              <c:numCache>
                <c:formatCode>0</c:formatCode>
                <c:ptCount val="5"/>
                <c:pt idx="0">
                  <c:v>43.75</c:v>
                </c:pt>
                <c:pt idx="1">
                  <c:v>18.181818181818535</c:v>
                </c:pt>
                <c:pt idx="2">
                  <c:v>48.401826484017377</c:v>
                </c:pt>
                <c:pt idx="3">
                  <c:v>40.284360189573455</c:v>
                </c:pt>
                <c:pt idx="4">
                  <c:v>31.25</c:v>
                </c:pt>
              </c:numCache>
            </c:numRef>
          </c:val>
          <c:extLst>
            <c:ext xmlns:c16="http://schemas.microsoft.com/office/drawing/2014/chart" uri="{C3380CC4-5D6E-409C-BE32-E72D297353CC}">
              <c16:uniqueId val="{00000000-91DF-4428-BC4C-B839852F0C13}"/>
            </c:ext>
          </c:extLst>
        </c:ser>
        <c:ser>
          <c:idx val="1"/>
          <c:order val="1"/>
          <c:tx>
            <c:strRef>
              <c:f>Folha2!$G$13</c:f>
              <c:strCache>
                <c:ptCount val="1"/>
                <c:pt idx="0">
                  <c:v>Homens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Folha2!$E$14:$E$18</c:f>
              <c:strCache>
                <c:ptCount val="5"/>
                <c:pt idx="0">
                  <c:v>Ministério</c:v>
                </c:pt>
                <c:pt idx="1">
                  <c:v>Delegado(a)s</c:v>
                </c:pt>
                <c:pt idx="2">
                  <c:v>Director(a) ES</c:v>
                </c:pt>
                <c:pt idx="3">
                  <c:v>Coordenadores pedag.</c:v>
                </c:pt>
                <c:pt idx="4">
                  <c:v>Gestores pólos</c:v>
                </c:pt>
              </c:strCache>
            </c:strRef>
          </c:cat>
          <c:val>
            <c:numRef>
              <c:f>Folha2!$G$14:$G$18</c:f>
              <c:numCache>
                <c:formatCode>0</c:formatCode>
                <c:ptCount val="5"/>
                <c:pt idx="0">
                  <c:v>56.25</c:v>
                </c:pt>
                <c:pt idx="1">
                  <c:v>81.818181818180136</c:v>
                </c:pt>
                <c:pt idx="2">
                  <c:v>51.598173515982012</c:v>
                </c:pt>
                <c:pt idx="3">
                  <c:v>59.715639810426538</c:v>
                </c:pt>
                <c:pt idx="4">
                  <c:v>68.75</c:v>
                </c:pt>
              </c:numCache>
            </c:numRef>
          </c:val>
          <c:extLst>
            <c:ext xmlns:c16="http://schemas.microsoft.com/office/drawing/2014/chart" uri="{C3380CC4-5D6E-409C-BE32-E72D297353CC}">
              <c16:uniqueId val="{00000001-91DF-4428-BC4C-B839852F0C13}"/>
            </c:ext>
          </c:extLst>
        </c:ser>
        <c:dLbls>
          <c:showLegendKey val="0"/>
          <c:showVal val="0"/>
          <c:showCatName val="0"/>
          <c:showSerName val="0"/>
          <c:showPercent val="0"/>
          <c:showBubbleSize val="0"/>
        </c:dLbls>
        <c:gapWidth val="150"/>
        <c:axId val="40288256"/>
        <c:axId val="285627456"/>
      </c:barChart>
      <c:catAx>
        <c:axId val="40288256"/>
        <c:scaling>
          <c:orientation val="minMax"/>
        </c:scaling>
        <c:delete val="0"/>
        <c:axPos val="b"/>
        <c:numFmt formatCode="General" sourceLinked="0"/>
        <c:majorTickMark val="out"/>
        <c:minorTickMark val="none"/>
        <c:tickLblPos val="nextTo"/>
        <c:txPr>
          <a:bodyPr/>
          <a:lstStyle/>
          <a:p>
            <a:pPr>
              <a:defRPr sz="800"/>
            </a:pPr>
            <a:endParaRPr lang="pt-PT"/>
          </a:p>
        </c:txPr>
        <c:crossAx val="285627456"/>
        <c:crosses val="autoZero"/>
        <c:auto val="1"/>
        <c:lblAlgn val="ctr"/>
        <c:lblOffset val="100"/>
        <c:noMultiLvlLbl val="0"/>
      </c:catAx>
      <c:valAx>
        <c:axId val="285627456"/>
        <c:scaling>
          <c:orientation val="minMax"/>
        </c:scaling>
        <c:delete val="1"/>
        <c:axPos val="l"/>
        <c:numFmt formatCode="0" sourceLinked="1"/>
        <c:majorTickMark val="out"/>
        <c:minorTickMark val="none"/>
        <c:tickLblPos val="none"/>
        <c:crossAx val="40288256"/>
        <c:crosses val="autoZero"/>
        <c:crossBetween val="between"/>
      </c:valAx>
    </c:plotArea>
    <c:legend>
      <c:legendPos val="r"/>
      <c:layout>
        <c:manualLayout>
          <c:xMode val="edge"/>
          <c:yMode val="edge"/>
          <c:x val="0.51754243219597562"/>
          <c:y val="4.5912438028579923E-2"/>
          <c:w val="0.15467979002624671"/>
          <c:h val="0.16743438320210302"/>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9E1A1C-C7B9-4583-A23E-E3F9ADD8DA01}"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s-ES"/>
        </a:p>
      </dgm:t>
    </dgm:pt>
    <dgm:pt modelId="{757806D4-B152-4708-82B2-C7FED494429F}">
      <dgm:prSet phldrT="[Texto]" custT="1"/>
      <dgm:spPr/>
      <dgm:t>
        <a:bodyPr/>
        <a:lstStyle/>
        <a:p>
          <a:r>
            <a:rPr lang="es-ES" sz="900"/>
            <a:t>Pobreza</a:t>
          </a:r>
        </a:p>
      </dgm:t>
    </dgm:pt>
    <dgm:pt modelId="{95395E31-0791-49F7-BD4F-34A9C934B1FA}" type="parTrans" cxnId="{2AFD9DC2-2940-4EAD-90AF-D828E3AFA950}">
      <dgm:prSet/>
      <dgm:spPr/>
      <dgm:t>
        <a:bodyPr/>
        <a:lstStyle/>
        <a:p>
          <a:endParaRPr lang="es-ES"/>
        </a:p>
      </dgm:t>
    </dgm:pt>
    <dgm:pt modelId="{6F46A4A0-4656-4FC2-9F14-A655A76F1B0B}" type="sibTrans" cxnId="{2AFD9DC2-2940-4EAD-90AF-D828E3AFA950}">
      <dgm:prSet/>
      <dgm:spPr/>
      <dgm:t>
        <a:bodyPr/>
        <a:lstStyle/>
        <a:p>
          <a:endParaRPr lang="es-ES"/>
        </a:p>
      </dgm:t>
    </dgm:pt>
    <dgm:pt modelId="{0FC70E4E-59EF-4E88-8D60-C6BF6946A62B}">
      <dgm:prSet phldrT="[Texto]" custT="1"/>
      <dgm:spPr/>
      <dgm:t>
        <a:bodyPr/>
        <a:lstStyle/>
        <a:p>
          <a:r>
            <a:rPr lang="es-ES" sz="900"/>
            <a:t>Desigualdade de género</a:t>
          </a:r>
        </a:p>
      </dgm:t>
    </dgm:pt>
    <dgm:pt modelId="{484726AF-E860-4EE5-B8B4-B5A62DB6381A}" type="parTrans" cxnId="{9EB652B2-9F41-472C-BF11-46EC6D07663F}">
      <dgm:prSet/>
      <dgm:spPr/>
      <dgm:t>
        <a:bodyPr/>
        <a:lstStyle/>
        <a:p>
          <a:endParaRPr lang="es-ES"/>
        </a:p>
      </dgm:t>
    </dgm:pt>
    <dgm:pt modelId="{6B2D67AB-9914-423D-B832-6259C6050CED}" type="sibTrans" cxnId="{9EB652B2-9F41-472C-BF11-46EC6D07663F}">
      <dgm:prSet/>
      <dgm:spPr/>
      <dgm:t>
        <a:bodyPr/>
        <a:lstStyle/>
        <a:p>
          <a:endParaRPr lang="es-ES"/>
        </a:p>
      </dgm:t>
    </dgm:pt>
    <dgm:pt modelId="{CDFAE6BE-78FD-4A45-B79D-7300B7CD8016}">
      <dgm:prSet phldrT="[Texto]" custT="1"/>
      <dgm:spPr/>
      <dgm:t>
        <a:bodyPr/>
        <a:lstStyle/>
        <a:p>
          <a:r>
            <a:rPr lang="es-ES" sz="900"/>
            <a:t>Maior carga de trabalho reprodutivo</a:t>
          </a:r>
        </a:p>
      </dgm:t>
    </dgm:pt>
    <dgm:pt modelId="{54D76869-5827-4541-95BF-0E2D189C48FB}" type="parTrans" cxnId="{9AB96A07-7A47-46AC-8B08-0C3C0DE9C489}">
      <dgm:prSet/>
      <dgm:spPr/>
      <dgm:t>
        <a:bodyPr/>
        <a:lstStyle/>
        <a:p>
          <a:endParaRPr lang="es-ES"/>
        </a:p>
      </dgm:t>
    </dgm:pt>
    <dgm:pt modelId="{F361A422-154A-4811-B4C4-F5F4A69A963A}" type="sibTrans" cxnId="{9AB96A07-7A47-46AC-8B08-0C3C0DE9C489}">
      <dgm:prSet/>
      <dgm:spPr/>
      <dgm:t>
        <a:bodyPr/>
        <a:lstStyle/>
        <a:p>
          <a:endParaRPr lang="es-ES"/>
        </a:p>
      </dgm:t>
    </dgm:pt>
    <dgm:pt modelId="{9A832C9C-98F7-4FC0-946A-7061759D32CD}" type="pres">
      <dgm:prSet presAssocID="{3F9E1A1C-C7B9-4583-A23E-E3F9ADD8DA01}" presName="Name0" presStyleCnt="0">
        <dgm:presLayoutVars>
          <dgm:dir/>
          <dgm:resizeHandles val="exact"/>
        </dgm:presLayoutVars>
      </dgm:prSet>
      <dgm:spPr/>
    </dgm:pt>
    <dgm:pt modelId="{0D55F9DB-4E8F-4B1F-A208-F0DD6ECCADBE}" type="pres">
      <dgm:prSet presAssocID="{757806D4-B152-4708-82B2-C7FED494429F}" presName="node" presStyleLbl="node1" presStyleIdx="0" presStyleCnt="3">
        <dgm:presLayoutVars>
          <dgm:bulletEnabled val="1"/>
        </dgm:presLayoutVars>
      </dgm:prSet>
      <dgm:spPr/>
    </dgm:pt>
    <dgm:pt modelId="{9BC530FF-739C-4166-8F27-F9F86FF161CC}" type="pres">
      <dgm:prSet presAssocID="{6F46A4A0-4656-4FC2-9F14-A655A76F1B0B}" presName="sibTrans" presStyleLbl="sibTrans2D1" presStyleIdx="0" presStyleCnt="3"/>
      <dgm:spPr/>
    </dgm:pt>
    <dgm:pt modelId="{EB01E122-C0B2-41F5-A16A-B412081E09C6}" type="pres">
      <dgm:prSet presAssocID="{6F46A4A0-4656-4FC2-9F14-A655A76F1B0B}" presName="connectorText" presStyleLbl="sibTrans2D1" presStyleIdx="0" presStyleCnt="3"/>
      <dgm:spPr/>
    </dgm:pt>
    <dgm:pt modelId="{6330D29C-CF6F-4C96-8634-88D4B1022958}" type="pres">
      <dgm:prSet presAssocID="{0FC70E4E-59EF-4E88-8D60-C6BF6946A62B}" presName="node" presStyleLbl="node1" presStyleIdx="1" presStyleCnt="3">
        <dgm:presLayoutVars>
          <dgm:bulletEnabled val="1"/>
        </dgm:presLayoutVars>
      </dgm:prSet>
      <dgm:spPr/>
    </dgm:pt>
    <dgm:pt modelId="{FFBFA061-7A4C-4A55-ADE9-74493E2D467A}" type="pres">
      <dgm:prSet presAssocID="{6B2D67AB-9914-423D-B832-6259C6050CED}" presName="sibTrans" presStyleLbl="sibTrans2D1" presStyleIdx="1" presStyleCnt="3"/>
      <dgm:spPr/>
    </dgm:pt>
    <dgm:pt modelId="{18D5133B-D99C-41B4-B1F1-5B5EF2D85621}" type="pres">
      <dgm:prSet presAssocID="{6B2D67AB-9914-423D-B832-6259C6050CED}" presName="connectorText" presStyleLbl="sibTrans2D1" presStyleIdx="1" presStyleCnt="3"/>
      <dgm:spPr/>
    </dgm:pt>
    <dgm:pt modelId="{AC3B9481-7042-44D3-9E1E-91CF37705618}" type="pres">
      <dgm:prSet presAssocID="{CDFAE6BE-78FD-4A45-B79D-7300B7CD8016}" presName="node" presStyleLbl="node1" presStyleIdx="2" presStyleCnt="3" custRadScaleRad="98858" custRadScaleInc="-685">
        <dgm:presLayoutVars>
          <dgm:bulletEnabled val="1"/>
        </dgm:presLayoutVars>
      </dgm:prSet>
      <dgm:spPr/>
    </dgm:pt>
    <dgm:pt modelId="{6E9D247E-7D3C-4CE4-800F-DB891C57A713}" type="pres">
      <dgm:prSet presAssocID="{F361A422-154A-4811-B4C4-F5F4A69A963A}" presName="sibTrans" presStyleLbl="sibTrans2D1" presStyleIdx="2" presStyleCnt="3"/>
      <dgm:spPr/>
    </dgm:pt>
    <dgm:pt modelId="{6A475630-6436-431A-B7FC-BA87B88E06E9}" type="pres">
      <dgm:prSet presAssocID="{F361A422-154A-4811-B4C4-F5F4A69A963A}" presName="connectorText" presStyleLbl="sibTrans2D1" presStyleIdx="2" presStyleCnt="3"/>
      <dgm:spPr/>
    </dgm:pt>
  </dgm:ptLst>
  <dgm:cxnLst>
    <dgm:cxn modelId="{F0CB7407-05D1-4C2F-9437-2F67837938BA}" type="presOf" srcId="{3F9E1A1C-C7B9-4583-A23E-E3F9ADD8DA01}" destId="{9A832C9C-98F7-4FC0-946A-7061759D32CD}" srcOrd="0" destOrd="0" presId="urn:microsoft.com/office/officeart/2005/8/layout/cycle7"/>
    <dgm:cxn modelId="{0FBAF3FA-6363-42B2-8539-F4FB3CC75FCD}" type="presOf" srcId="{6F46A4A0-4656-4FC2-9F14-A655A76F1B0B}" destId="{9BC530FF-739C-4166-8F27-F9F86FF161CC}" srcOrd="0" destOrd="0" presId="urn:microsoft.com/office/officeart/2005/8/layout/cycle7"/>
    <dgm:cxn modelId="{35E9E3A6-A874-4383-95F8-B5E4EDA76073}" type="presOf" srcId="{F361A422-154A-4811-B4C4-F5F4A69A963A}" destId="{6A475630-6436-431A-B7FC-BA87B88E06E9}" srcOrd="1" destOrd="0" presId="urn:microsoft.com/office/officeart/2005/8/layout/cycle7"/>
    <dgm:cxn modelId="{75996513-3042-46FC-8053-775A5CC1FC98}" type="presOf" srcId="{6B2D67AB-9914-423D-B832-6259C6050CED}" destId="{FFBFA061-7A4C-4A55-ADE9-74493E2D467A}" srcOrd="0" destOrd="0" presId="urn:microsoft.com/office/officeart/2005/8/layout/cycle7"/>
    <dgm:cxn modelId="{FC97985C-E98E-4529-8C66-8DB97C8B4CD5}" type="presOf" srcId="{CDFAE6BE-78FD-4A45-B79D-7300B7CD8016}" destId="{AC3B9481-7042-44D3-9E1E-91CF37705618}" srcOrd="0" destOrd="0" presId="urn:microsoft.com/office/officeart/2005/8/layout/cycle7"/>
    <dgm:cxn modelId="{6572CFE4-9522-46C6-8852-C7E30C73FC81}" type="presOf" srcId="{0FC70E4E-59EF-4E88-8D60-C6BF6946A62B}" destId="{6330D29C-CF6F-4C96-8634-88D4B1022958}" srcOrd="0" destOrd="0" presId="urn:microsoft.com/office/officeart/2005/8/layout/cycle7"/>
    <dgm:cxn modelId="{A6DC0DF5-5AE3-4C83-9BED-73FA5B4165CA}" type="presOf" srcId="{6F46A4A0-4656-4FC2-9F14-A655A76F1B0B}" destId="{EB01E122-C0B2-41F5-A16A-B412081E09C6}" srcOrd="1" destOrd="0" presId="urn:microsoft.com/office/officeart/2005/8/layout/cycle7"/>
    <dgm:cxn modelId="{5C9FC990-047A-43D2-A5F3-55F320F498DC}" type="presOf" srcId="{6B2D67AB-9914-423D-B832-6259C6050CED}" destId="{18D5133B-D99C-41B4-B1F1-5B5EF2D85621}" srcOrd="1" destOrd="0" presId="urn:microsoft.com/office/officeart/2005/8/layout/cycle7"/>
    <dgm:cxn modelId="{967CB2E5-2D57-45BA-A49D-0D2F04D78497}" type="presOf" srcId="{757806D4-B152-4708-82B2-C7FED494429F}" destId="{0D55F9DB-4E8F-4B1F-A208-F0DD6ECCADBE}" srcOrd="0" destOrd="0" presId="urn:microsoft.com/office/officeart/2005/8/layout/cycle7"/>
    <dgm:cxn modelId="{9AB96A07-7A47-46AC-8B08-0C3C0DE9C489}" srcId="{3F9E1A1C-C7B9-4583-A23E-E3F9ADD8DA01}" destId="{CDFAE6BE-78FD-4A45-B79D-7300B7CD8016}" srcOrd="2" destOrd="0" parTransId="{54D76869-5827-4541-95BF-0E2D189C48FB}" sibTransId="{F361A422-154A-4811-B4C4-F5F4A69A963A}"/>
    <dgm:cxn modelId="{28AF791C-35EF-40C4-927D-1F0516B7C848}" type="presOf" srcId="{F361A422-154A-4811-B4C4-F5F4A69A963A}" destId="{6E9D247E-7D3C-4CE4-800F-DB891C57A713}" srcOrd="0" destOrd="0" presId="urn:microsoft.com/office/officeart/2005/8/layout/cycle7"/>
    <dgm:cxn modelId="{9EB652B2-9F41-472C-BF11-46EC6D07663F}" srcId="{3F9E1A1C-C7B9-4583-A23E-E3F9ADD8DA01}" destId="{0FC70E4E-59EF-4E88-8D60-C6BF6946A62B}" srcOrd="1" destOrd="0" parTransId="{484726AF-E860-4EE5-B8B4-B5A62DB6381A}" sibTransId="{6B2D67AB-9914-423D-B832-6259C6050CED}"/>
    <dgm:cxn modelId="{2AFD9DC2-2940-4EAD-90AF-D828E3AFA950}" srcId="{3F9E1A1C-C7B9-4583-A23E-E3F9ADD8DA01}" destId="{757806D4-B152-4708-82B2-C7FED494429F}" srcOrd="0" destOrd="0" parTransId="{95395E31-0791-49F7-BD4F-34A9C934B1FA}" sibTransId="{6F46A4A0-4656-4FC2-9F14-A655A76F1B0B}"/>
    <dgm:cxn modelId="{47909EA0-3064-42F0-9402-5D9DAF7550DA}" type="presParOf" srcId="{9A832C9C-98F7-4FC0-946A-7061759D32CD}" destId="{0D55F9DB-4E8F-4B1F-A208-F0DD6ECCADBE}" srcOrd="0" destOrd="0" presId="urn:microsoft.com/office/officeart/2005/8/layout/cycle7"/>
    <dgm:cxn modelId="{CB077C75-D71D-4090-90EA-F8A119C20362}" type="presParOf" srcId="{9A832C9C-98F7-4FC0-946A-7061759D32CD}" destId="{9BC530FF-739C-4166-8F27-F9F86FF161CC}" srcOrd="1" destOrd="0" presId="urn:microsoft.com/office/officeart/2005/8/layout/cycle7"/>
    <dgm:cxn modelId="{402FB34C-2206-47BD-A679-4BAC49FBDCCF}" type="presParOf" srcId="{9BC530FF-739C-4166-8F27-F9F86FF161CC}" destId="{EB01E122-C0B2-41F5-A16A-B412081E09C6}" srcOrd="0" destOrd="0" presId="urn:microsoft.com/office/officeart/2005/8/layout/cycle7"/>
    <dgm:cxn modelId="{13F0AEA1-003F-414E-B931-6D680A0ACC98}" type="presParOf" srcId="{9A832C9C-98F7-4FC0-946A-7061759D32CD}" destId="{6330D29C-CF6F-4C96-8634-88D4B1022958}" srcOrd="2" destOrd="0" presId="urn:microsoft.com/office/officeart/2005/8/layout/cycle7"/>
    <dgm:cxn modelId="{289C259A-DF3C-4D93-9CA2-4F8D6B5F1C8F}" type="presParOf" srcId="{9A832C9C-98F7-4FC0-946A-7061759D32CD}" destId="{FFBFA061-7A4C-4A55-ADE9-74493E2D467A}" srcOrd="3" destOrd="0" presId="urn:microsoft.com/office/officeart/2005/8/layout/cycle7"/>
    <dgm:cxn modelId="{0CB75C2D-770F-4026-B4CD-F08E191C3E50}" type="presParOf" srcId="{FFBFA061-7A4C-4A55-ADE9-74493E2D467A}" destId="{18D5133B-D99C-41B4-B1F1-5B5EF2D85621}" srcOrd="0" destOrd="0" presId="urn:microsoft.com/office/officeart/2005/8/layout/cycle7"/>
    <dgm:cxn modelId="{98F14E8A-2784-49EE-AD06-05CCE2062FBA}" type="presParOf" srcId="{9A832C9C-98F7-4FC0-946A-7061759D32CD}" destId="{AC3B9481-7042-44D3-9E1E-91CF37705618}" srcOrd="4" destOrd="0" presId="urn:microsoft.com/office/officeart/2005/8/layout/cycle7"/>
    <dgm:cxn modelId="{650EFA89-5C5B-4A4C-887B-05834C9E88C7}" type="presParOf" srcId="{9A832C9C-98F7-4FC0-946A-7061759D32CD}" destId="{6E9D247E-7D3C-4CE4-800F-DB891C57A713}" srcOrd="5" destOrd="0" presId="urn:microsoft.com/office/officeart/2005/8/layout/cycle7"/>
    <dgm:cxn modelId="{750BDA15-0970-4521-9A3A-BEC9467F7355}" type="presParOf" srcId="{6E9D247E-7D3C-4CE4-800F-DB891C57A713}" destId="{6A475630-6436-431A-B7FC-BA87B88E06E9}" srcOrd="0" destOrd="0" presId="urn:microsoft.com/office/officeart/2005/8/layout/cycle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9E1A1C-C7B9-4583-A23E-E3F9ADD8DA01}"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s-ES"/>
        </a:p>
      </dgm:t>
    </dgm:pt>
    <dgm:pt modelId="{757806D4-B152-4708-82B2-C7FED494429F}">
      <dgm:prSet phldrT="[Texto]" custT="1"/>
      <dgm:spPr/>
      <dgm:t>
        <a:bodyPr/>
        <a:lstStyle/>
        <a:p>
          <a:r>
            <a:rPr lang="es-ES" sz="900"/>
            <a:t>Pobreza</a:t>
          </a:r>
        </a:p>
      </dgm:t>
    </dgm:pt>
    <dgm:pt modelId="{95395E31-0791-49F7-BD4F-34A9C934B1FA}" type="parTrans" cxnId="{2AFD9DC2-2940-4EAD-90AF-D828E3AFA950}">
      <dgm:prSet/>
      <dgm:spPr/>
      <dgm:t>
        <a:bodyPr/>
        <a:lstStyle/>
        <a:p>
          <a:endParaRPr lang="es-ES"/>
        </a:p>
      </dgm:t>
    </dgm:pt>
    <dgm:pt modelId="{6F46A4A0-4656-4FC2-9F14-A655A76F1B0B}" type="sibTrans" cxnId="{2AFD9DC2-2940-4EAD-90AF-D828E3AFA950}">
      <dgm:prSet/>
      <dgm:spPr/>
      <dgm:t>
        <a:bodyPr/>
        <a:lstStyle/>
        <a:p>
          <a:endParaRPr lang="es-ES"/>
        </a:p>
      </dgm:t>
    </dgm:pt>
    <dgm:pt modelId="{0FC70E4E-59EF-4E88-8D60-C6BF6946A62B}">
      <dgm:prSet phldrT="[Texto]" custT="1"/>
      <dgm:spPr/>
      <dgm:t>
        <a:bodyPr/>
        <a:lstStyle/>
        <a:p>
          <a:r>
            <a:rPr lang="es-ES" sz="900"/>
            <a:t>Desigualdade de género</a:t>
          </a:r>
        </a:p>
      </dgm:t>
    </dgm:pt>
    <dgm:pt modelId="{484726AF-E860-4EE5-B8B4-B5A62DB6381A}" type="parTrans" cxnId="{9EB652B2-9F41-472C-BF11-46EC6D07663F}">
      <dgm:prSet/>
      <dgm:spPr/>
      <dgm:t>
        <a:bodyPr/>
        <a:lstStyle/>
        <a:p>
          <a:endParaRPr lang="es-ES"/>
        </a:p>
      </dgm:t>
    </dgm:pt>
    <dgm:pt modelId="{6B2D67AB-9914-423D-B832-6259C6050CED}" type="sibTrans" cxnId="{9EB652B2-9F41-472C-BF11-46EC6D07663F}">
      <dgm:prSet/>
      <dgm:spPr/>
      <dgm:t>
        <a:bodyPr/>
        <a:lstStyle/>
        <a:p>
          <a:endParaRPr lang="es-ES"/>
        </a:p>
      </dgm:t>
    </dgm:pt>
    <dgm:pt modelId="{CDFAE6BE-78FD-4A45-B79D-7300B7CD8016}">
      <dgm:prSet phldrT="[Texto]" custT="1"/>
      <dgm:spPr/>
      <dgm:t>
        <a:bodyPr/>
        <a:lstStyle/>
        <a:p>
          <a:r>
            <a:rPr lang="es-ES" sz="900"/>
            <a:t>Maior carga de trabalho reprodutivo</a:t>
          </a:r>
        </a:p>
      </dgm:t>
    </dgm:pt>
    <dgm:pt modelId="{54D76869-5827-4541-95BF-0E2D189C48FB}" type="parTrans" cxnId="{9AB96A07-7A47-46AC-8B08-0C3C0DE9C489}">
      <dgm:prSet/>
      <dgm:spPr/>
      <dgm:t>
        <a:bodyPr/>
        <a:lstStyle/>
        <a:p>
          <a:endParaRPr lang="es-ES"/>
        </a:p>
      </dgm:t>
    </dgm:pt>
    <dgm:pt modelId="{F361A422-154A-4811-B4C4-F5F4A69A963A}" type="sibTrans" cxnId="{9AB96A07-7A47-46AC-8B08-0C3C0DE9C489}">
      <dgm:prSet/>
      <dgm:spPr/>
      <dgm:t>
        <a:bodyPr/>
        <a:lstStyle/>
        <a:p>
          <a:endParaRPr lang="es-ES"/>
        </a:p>
      </dgm:t>
    </dgm:pt>
    <dgm:pt modelId="{9A832C9C-98F7-4FC0-946A-7061759D32CD}" type="pres">
      <dgm:prSet presAssocID="{3F9E1A1C-C7B9-4583-A23E-E3F9ADD8DA01}" presName="Name0" presStyleCnt="0">
        <dgm:presLayoutVars>
          <dgm:dir/>
          <dgm:resizeHandles val="exact"/>
        </dgm:presLayoutVars>
      </dgm:prSet>
      <dgm:spPr/>
    </dgm:pt>
    <dgm:pt modelId="{0D55F9DB-4E8F-4B1F-A208-F0DD6ECCADBE}" type="pres">
      <dgm:prSet presAssocID="{757806D4-B152-4708-82B2-C7FED494429F}" presName="node" presStyleLbl="node1" presStyleIdx="0" presStyleCnt="3">
        <dgm:presLayoutVars>
          <dgm:bulletEnabled val="1"/>
        </dgm:presLayoutVars>
      </dgm:prSet>
      <dgm:spPr/>
    </dgm:pt>
    <dgm:pt modelId="{9BC530FF-739C-4166-8F27-F9F86FF161CC}" type="pres">
      <dgm:prSet presAssocID="{6F46A4A0-4656-4FC2-9F14-A655A76F1B0B}" presName="sibTrans" presStyleLbl="sibTrans2D1" presStyleIdx="0" presStyleCnt="3"/>
      <dgm:spPr/>
    </dgm:pt>
    <dgm:pt modelId="{EB01E122-C0B2-41F5-A16A-B412081E09C6}" type="pres">
      <dgm:prSet presAssocID="{6F46A4A0-4656-4FC2-9F14-A655A76F1B0B}" presName="connectorText" presStyleLbl="sibTrans2D1" presStyleIdx="0" presStyleCnt="3"/>
      <dgm:spPr/>
    </dgm:pt>
    <dgm:pt modelId="{6330D29C-CF6F-4C96-8634-88D4B1022958}" type="pres">
      <dgm:prSet presAssocID="{0FC70E4E-59EF-4E88-8D60-C6BF6946A62B}" presName="node" presStyleLbl="node1" presStyleIdx="1" presStyleCnt="3">
        <dgm:presLayoutVars>
          <dgm:bulletEnabled val="1"/>
        </dgm:presLayoutVars>
      </dgm:prSet>
      <dgm:spPr/>
    </dgm:pt>
    <dgm:pt modelId="{FFBFA061-7A4C-4A55-ADE9-74493E2D467A}" type="pres">
      <dgm:prSet presAssocID="{6B2D67AB-9914-423D-B832-6259C6050CED}" presName="sibTrans" presStyleLbl="sibTrans2D1" presStyleIdx="1" presStyleCnt="3"/>
      <dgm:spPr/>
    </dgm:pt>
    <dgm:pt modelId="{18D5133B-D99C-41B4-B1F1-5B5EF2D85621}" type="pres">
      <dgm:prSet presAssocID="{6B2D67AB-9914-423D-B832-6259C6050CED}" presName="connectorText" presStyleLbl="sibTrans2D1" presStyleIdx="1" presStyleCnt="3"/>
      <dgm:spPr/>
    </dgm:pt>
    <dgm:pt modelId="{AC3B9481-7042-44D3-9E1E-91CF37705618}" type="pres">
      <dgm:prSet presAssocID="{CDFAE6BE-78FD-4A45-B79D-7300B7CD8016}" presName="node" presStyleLbl="node1" presStyleIdx="2" presStyleCnt="3" custRadScaleRad="98858" custRadScaleInc="-685">
        <dgm:presLayoutVars>
          <dgm:bulletEnabled val="1"/>
        </dgm:presLayoutVars>
      </dgm:prSet>
      <dgm:spPr/>
    </dgm:pt>
    <dgm:pt modelId="{6E9D247E-7D3C-4CE4-800F-DB891C57A713}" type="pres">
      <dgm:prSet presAssocID="{F361A422-154A-4811-B4C4-F5F4A69A963A}" presName="sibTrans" presStyleLbl="sibTrans2D1" presStyleIdx="2" presStyleCnt="3"/>
      <dgm:spPr/>
    </dgm:pt>
    <dgm:pt modelId="{6A475630-6436-431A-B7FC-BA87B88E06E9}" type="pres">
      <dgm:prSet presAssocID="{F361A422-154A-4811-B4C4-F5F4A69A963A}" presName="connectorText" presStyleLbl="sibTrans2D1" presStyleIdx="2" presStyleCnt="3"/>
      <dgm:spPr/>
    </dgm:pt>
  </dgm:ptLst>
  <dgm:cxnLst>
    <dgm:cxn modelId="{F0CB7407-05D1-4C2F-9437-2F67837938BA}" type="presOf" srcId="{3F9E1A1C-C7B9-4583-A23E-E3F9ADD8DA01}" destId="{9A832C9C-98F7-4FC0-946A-7061759D32CD}" srcOrd="0" destOrd="0" presId="urn:microsoft.com/office/officeart/2005/8/layout/cycle7"/>
    <dgm:cxn modelId="{0FBAF3FA-6363-42B2-8539-F4FB3CC75FCD}" type="presOf" srcId="{6F46A4A0-4656-4FC2-9F14-A655A76F1B0B}" destId="{9BC530FF-739C-4166-8F27-F9F86FF161CC}" srcOrd="0" destOrd="0" presId="urn:microsoft.com/office/officeart/2005/8/layout/cycle7"/>
    <dgm:cxn modelId="{35E9E3A6-A874-4383-95F8-B5E4EDA76073}" type="presOf" srcId="{F361A422-154A-4811-B4C4-F5F4A69A963A}" destId="{6A475630-6436-431A-B7FC-BA87B88E06E9}" srcOrd="1" destOrd="0" presId="urn:microsoft.com/office/officeart/2005/8/layout/cycle7"/>
    <dgm:cxn modelId="{75996513-3042-46FC-8053-775A5CC1FC98}" type="presOf" srcId="{6B2D67AB-9914-423D-B832-6259C6050CED}" destId="{FFBFA061-7A4C-4A55-ADE9-74493E2D467A}" srcOrd="0" destOrd="0" presId="urn:microsoft.com/office/officeart/2005/8/layout/cycle7"/>
    <dgm:cxn modelId="{FC97985C-E98E-4529-8C66-8DB97C8B4CD5}" type="presOf" srcId="{CDFAE6BE-78FD-4A45-B79D-7300B7CD8016}" destId="{AC3B9481-7042-44D3-9E1E-91CF37705618}" srcOrd="0" destOrd="0" presId="urn:microsoft.com/office/officeart/2005/8/layout/cycle7"/>
    <dgm:cxn modelId="{6572CFE4-9522-46C6-8852-C7E30C73FC81}" type="presOf" srcId="{0FC70E4E-59EF-4E88-8D60-C6BF6946A62B}" destId="{6330D29C-CF6F-4C96-8634-88D4B1022958}" srcOrd="0" destOrd="0" presId="urn:microsoft.com/office/officeart/2005/8/layout/cycle7"/>
    <dgm:cxn modelId="{A6DC0DF5-5AE3-4C83-9BED-73FA5B4165CA}" type="presOf" srcId="{6F46A4A0-4656-4FC2-9F14-A655A76F1B0B}" destId="{EB01E122-C0B2-41F5-A16A-B412081E09C6}" srcOrd="1" destOrd="0" presId="urn:microsoft.com/office/officeart/2005/8/layout/cycle7"/>
    <dgm:cxn modelId="{5C9FC990-047A-43D2-A5F3-55F320F498DC}" type="presOf" srcId="{6B2D67AB-9914-423D-B832-6259C6050CED}" destId="{18D5133B-D99C-41B4-B1F1-5B5EF2D85621}" srcOrd="1" destOrd="0" presId="urn:microsoft.com/office/officeart/2005/8/layout/cycle7"/>
    <dgm:cxn modelId="{967CB2E5-2D57-45BA-A49D-0D2F04D78497}" type="presOf" srcId="{757806D4-B152-4708-82B2-C7FED494429F}" destId="{0D55F9DB-4E8F-4B1F-A208-F0DD6ECCADBE}" srcOrd="0" destOrd="0" presId="urn:microsoft.com/office/officeart/2005/8/layout/cycle7"/>
    <dgm:cxn modelId="{9AB96A07-7A47-46AC-8B08-0C3C0DE9C489}" srcId="{3F9E1A1C-C7B9-4583-A23E-E3F9ADD8DA01}" destId="{CDFAE6BE-78FD-4A45-B79D-7300B7CD8016}" srcOrd="2" destOrd="0" parTransId="{54D76869-5827-4541-95BF-0E2D189C48FB}" sibTransId="{F361A422-154A-4811-B4C4-F5F4A69A963A}"/>
    <dgm:cxn modelId="{28AF791C-35EF-40C4-927D-1F0516B7C848}" type="presOf" srcId="{F361A422-154A-4811-B4C4-F5F4A69A963A}" destId="{6E9D247E-7D3C-4CE4-800F-DB891C57A713}" srcOrd="0" destOrd="0" presId="urn:microsoft.com/office/officeart/2005/8/layout/cycle7"/>
    <dgm:cxn modelId="{9EB652B2-9F41-472C-BF11-46EC6D07663F}" srcId="{3F9E1A1C-C7B9-4583-A23E-E3F9ADD8DA01}" destId="{0FC70E4E-59EF-4E88-8D60-C6BF6946A62B}" srcOrd="1" destOrd="0" parTransId="{484726AF-E860-4EE5-B8B4-B5A62DB6381A}" sibTransId="{6B2D67AB-9914-423D-B832-6259C6050CED}"/>
    <dgm:cxn modelId="{2AFD9DC2-2940-4EAD-90AF-D828E3AFA950}" srcId="{3F9E1A1C-C7B9-4583-A23E-E3F9ADD8DA01}" destId="{757806D4-B152-4708-82B2-C7FED494429F}" srcOrd="0" destOrd="0" parTransId="{95395E31-0791-49F7-BD4F-34A9C934B1FA}" sibTransId="{6F46A4A0-4656-4FC2-9F14-A655A76F1B0B}"/>
    <dgm:cxn modelId="{47909EA0-3064-42F0-9402-5D9DAF7550DA}" type="presParOf" srcId="{9A832C9C-98F7-4FC0-946A-7061759D32CD}" destId="{0D55F9DB-4E8F-4B1F-A208-F0DD6ECCADBE}" srcOrd="0" destOrd="0" presId="urn:microsoft.com/office/officeart/2005/8/layout/cycle7"/>
    <dgm:cxn modelId="{CB077C75-D71D-4090-90EA-F8A119C20362}" type="presParOf" srcId="{9A832C9C-98F7-4FC0-946A-7061759D32CD}" destId="{9BC530FF-739C-4166-8F27-F9F86FF161CC}" srcOrd="1" destOrd="0" presId="urn:microsoft.com/office/officeart/2005/8/layout/cycle7"/>
    <dgm:cxn modelId="{402FB34C-2206-47BD-A679-4BAC49FBDCCF}" type="presParOf" srcId="{9BC530FF-739C-4166-8F27-F9F86FF161CC}" destId="{EB01E122-C0B2-41F5-A16A-B412081E09C6}" srcOrd="0" destOrd="0" presId="urn:microsoft.com/office/officeart/2005/8/layout/cycle7"/>
    <dgm:cxn modelId="{13F0AEA1-003F-414E-B931-6D680A0ACC98}" type="presParOf" srcId="{9A832C9C-98F7-4FC0-946A-7061759D32CD}" destId="{6330D29C-CF6F-4C96-8634-88D4B1022958}" srcOrd="2" destOrd="0" presId="urn:microsoft.com/office/officeart/2005/8/layout/cycle7"/>
    <dgm:cxn modelId="{289C259A-DF3C-4D93-9CA2-4F8D6B5F1C8F}" type="presParOf" srcId="{9A832C9C-98F7-4FC0-946A-7061759D32CD}" destId="{FFBFA061-7A4C-4A55-ADE9-74493E2D467A}" srcOrd="3" destOrd="0" presId="urn:microsoft.com/office/officeart/2005/8/layout/cycle7"/>
    <dgm:cxn modelId="{0CB75C2D-770F-4026-B4CD-F08E191C3E50}" type="presParOf" srcId="{FFBFA061-7A4C-4A55-ADE9-74493E2D467A}" destId="{18D5133B-D99C-41B4-B1F1-5B5EF2D85621}" srcOrd="0" destOrd="0" presId="urn:microsoft.com/office/officeart/2005/8/layout/cycle7"/>
    <dgm:cxn modelId="{98F14E8A-2784-49EE-AD06-05CCE2062FBA}" type="presParOf" srcId="{9A832C9C-98F7-4FC0-946A-7061759D32CD}" destId="{AC3B9481-7042-44D3-9E1E-91CF37705618}" srcOrd="4" destOrd="0" presId="urn:microsoft.com/office/officeart/2005/8/layout/cycle7"/>
    <dgm:cxn modelId="{650EFA89-5C5B-4A4C-887B-05834C9E88C7}" type="presParOf" srcId="{9A832C9C-98F7-4FC0-946A-7061759D32CD}" destId="{6E9D247E-7D3C-4CE4-800F-DB891C57A713}" srcOrd="5" destOrd="0" presId="urn:microsoft.com/office/officeart/2005/8/layout/cycle7"/>
    <dgm:cxn modelId="{750BDA15-0970-4521-9A3A-BEC9467F7355}" type="presParOf" srcId="{6E9D247E-7D3C-4CE4-800F-DB891C57A713}" destId="{6A475630-6436-431A-B7FC-BA87B88E06E9}" srcOrd="0" destOrd="0" presId="urn:microsoft.com/office/officeart/2005/8/layout/cycle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2F5D06-23F8-4399-8C91-8086A651BF79}" type="doc">
      <dgm:prSet loTypeId="urn:microsoft.com/office/officeart/2005/8/layout/hChevron3" loCatId="process" qsTypeId="urn:microsoft.com/office/officeart/2005/8/quickstyle/simple1" qsCatId="simple" csTypeId="urn:microsoft.com/office/officeart/2005/8/colors/accent1_2" csCatId="accent1" phldr="1"/>
      <dgm:spPr/>
    </dgm:pt>
    <dgm:pt modelId="{C9E3F1D6-E23E-47E4-B266-32FB0476B02D}">
      <dgm:prSet phldrT="[Texto]" custT="1"/>
      <dgm:spPr/>
      <dgm:t>
        <a:bodyPr/>
        <a:lstStyle/>
        <a:p>
          <a:r>
            <a:rPr lang="pt-BR" sz="900"/>
            <a:t>COMITÉ TECNICO ALARGADO</a:t>
          </a:r>
        </a:p>
        <a:p>
          <a:r>
            <a:rPr lang="pt-BR" sz="900"/>
            <a:t>Relatório semestral por parceiro</a:t>
          </a:r>
          <a:endParaRPr lang="es-ES" sz="900"/>
        </a:p>
      </dgm:t>
    </dgm:pt>
    <dgm:pt modelId="{321FBFB0-8C76-4816-B13F-FB4B92BEECC7}" type="parTrans" cxnId="{751C8C27-3173-4C47-B35D-BE0AE1891E98}">
      <dgm:prSet/>
      <dgm:spPr/>
      <dgm:t>
        <a:bodyPr/>
        <a:lstStyle/>
        <a:p>
          <a:endParaRPr lang="es-ES"/>
        </a:p>
      </dgm:t>
    </dgm:pt>
    <dgm:pt modelId="{5C950A00-567A-4DC9-8477-A91E84439B12}" type="sibTrans" cxnId="{751C8C27-3173-4C47-B35D-BE0AE1891E98}">
      <dgm:prSet/>
      <dgm:spPr/>
      <dgm:t>
        <a:bodyPr/>
        <a:lstStyle/>
        <a:p>
          <a:endParaRPr lang="es-ES"/>
        </a:p>
      </dgm:t>
    </dgm:pt>
    <dgm:pt modelId="{D6305FD8-83C2-45FB-8DE5-86835D8DAA04}">
      <dgm:prSet phldrT="[Texto]" custT="1"/>
      <dgm:spPr/>
      <dgm:t>
        <a:bodyPr/>
        <a:lstStyle/>
        <a:p>
          <a:r>
            <a:rPr lang="pt-BR" sz="900"/>
            <a:t>ICIEG</a:t>
          </a:r>
        </a:p>
        <a:p>
          <a:r>
            <a:rPr lang="pt-BR" sz="900"/>
            <a:t>Relatório anual compilado → contribuição ao relatório anual do DECRP III </a:t>
          </a:r>
          <a:endParaRPr lang="es-ES" sz="900"/>
        </a:p>
        <a:p>
          <a:endParaRPr lang="es-ES" sz="700"/>
        </a:p>
      </dgm:t>
    </dgm:pt>
    <dgm:pt modelId="{FC3CBC55-FB9F-4B38-8EAF-2C4F2A00D688}" type="parTrans" cxnId="{DA2A22A6-8A29-4AD6-B161-675FCE295A28}">
      <dgm:prSet/>
      <dgm:spPr/>
      <dgm:t>
        <a:bodyPr/>
        <a:lstStyle/>
        <a:p>
          <a:endParaRPr lang="es-ES"/>
        </a:p>
      </dgm:t>
    </dgm:pt>
    <dgm:pt modelId="{8C6E1C95-4F10-4E87-B4EB-73C97FF958A1}" type="sibTrans" cxnId="{DA2A22A6-8A29-4AD6-B161-675FCE295A28}">
      <dgm:prSet/>
      <dgm:spPr/>
      <dgm:t>
        <a:bodyPr/>
        <a:lstStyle/>
        <a:p>
          <a:endParaRPr lang="es-ES"/>
        </a:p>
      </dgm:t>
    </dgm:pt>
    <dgm:pt modelId="{69DC8E95-E137-4881-860C-E5B768CCC6C8}">
      <dgm:prSet phldrT="[Texto]"/>
      <dgm:spPr/>
      <dgm:t>
        <a:bodyPr/>
        <a:lstStyle/>
        <a:p>
          <a:r>
            <a:rPr lang="pt-BR"/>
            <a:t>CONSELHO DE MINISTROS. </a:t>
          </a:r>
          <a:endParaRPr lang="es-ES"/>
        </a:p>
        <a:p>
          <a:r>
            <a:rPr lang="pt-BR"/>
            <a:t>Relatório anual  Relatório final de avaliação</a:t>
          </a:r>
          <a:endParaRPr lang="es-ES"/>
        </a:p>
      </dgm:t>
    </dgm:pt>
    <dgm:pt modelId="{32F4FEDD-31D0-44A1-B420-DAA9397E5ADF}" type="parTrans" cxnId="{071D3986-8E9C-41E2-ADBD-FDF772B62561}">
      <dgm:prSet/>
      <dgm:spPr/>
      <dgm:t>
        <a:bodyPr/>
        <a:lstStyle/>
        <a:p>
          <a:endParaRPr lang="es-ES"/>
        </a:p>
      </dgm:t>
    </dgm:pt>
    <dgm:pt modelId="{8C335610-F66B-4B6B-84DA-1B5C51E2B049}" type="sibTrans" cxnId="{071D3986-8E9C-41E2-ADBD-FDF772B62561}">
      <dgm:prSet/>
      <dgm:spPr/>
      <dgm:t>
        <a:bodyPr/>
        <a:lstStyle/>
        <a:p>
          <a:endParaRPr lang="es-ES"/>
        </a:p>
      </dgm:t>
    </dgm:pt>
    <dgm:pt modelId="{C5DEEB30-4474-45B0-9ED9-6FAEC9D9C9F7}" type="pres">
      <dgm:prSet presAssocID="{F82F5D06-23F8-4399-8C91-8086A651BF79}" presName="Name0" presStyleCnt="0">
        <dgm:presLayoutVars>
          <dgm:dir/>
          <dgm:resizeHandles val="exact"/>
        </dgm:presLayoutVars>
      </dgm:prSet>
      <dgm:spPr/>
    </dgm:pt>
    <dgm:pt modelId="{48A036AA-4610-4A55-8253-7241DB38EF55}" type="pres">
      <dgm:prSet presAssocID="{C9E3F1D6-E23E-47E4-B266-32FB0476B02D}" presName="parTxOnly" presStyleLbl="node1" presStyleIdx="0" presStyleCnt="3">
        <dgm:presLayoutVars>
          <dgm:bulletEnabled val="1"/>
        </dgm:presLayoutVars>
      </dgm:prSet>
      <dgm:spPr/>
    </dgm:pt>
    <dgm:pt modelId="{4148C47E-7015-499F-9F7D-B42EB5D92FE3}" type="pres">
      <dgm:prSet presAssocID="{5C950A00-567A-4DC9-8477-A91E84439B12}" presName="parSpace" presStyleCnt="0"/>
      <dgm:spPr/>
    </dgm:pt>
    <dgm:pt modelId="{DFDB3DF2-D0ED-4025-95C5-F42A97F3A35D}" type="pres">
      <dgm:prSet presAssocID="{D6305FD8-83C2-45FB-8DE5-86835D8DAA04}" presName="parTxOnly" presStyleLbl="node1" presStyleIdx="1" presStyleCnt="3">
        <dgm:presLayoutVars>
          <dgm:bulletEnabled val="1"/>
        </dgm:presLayoutVars>
      </dgm:prSet>
      <dgm:spPr/>
    </dgm:pt>
    <dgm:pt modelId="{D1776FB2-6A35-4865-95AC-7BFDD19D8714}" type="pres">
      <dgm:prSet presAssocID="{8C6E1C95-4F10-4E87-B4EB-73C97FF958A1}" presName="parSpace" presStyleCnt="0"/>
      <dgm:spPr/>
    </dgm:pt>
    <dgm:pt modelId="{375538B2-A668-4D1D-82E8-229EF5DA2E40}" type="pres">
      <dgm:prSet presAssocID="{69DC8E95-E137-4881-860C-E5B768CCC6C8}" presName="parTxOnly" presStyleLbl="node1" presStyleIdx="2" presStyleCnt="3">
        <dgm:presLayoutVars>
          <dgm:bulletEnabled val="1"/>
        </dgm:presLayoutVars>
      </dgm:prSet>
      <dgm:spPr/>
    </dgm:pt>
  </dgm:ptLst>
  <dgm:cxnLst>
    <dgm:cxn modelId="{1DC147DA-48D3-439F-8D50-4B3994C3373C}" type="presOf" srcId="{D6305FD8-83C2-45FB-8DE5-86835D8DAA04}" destId="{DFDB3DF2-D0ED-4025-95C5-F42A97F3A35D}" srcOrd="0" destOrd="0" presId="urn:microsoft.com/office/officeart/2005/8/layout/hChevron3"/>
    <dgm:cxn modelId="{071D3986-8E9C-41E2-ADBD-FDF772B62561}" srcId="{F82F5D06-23F8-4399-8C91-8086A651BF79}" destId="{69DC8E95-E137-4881-860C-E5B768CCC6C8}" srcOrd="2" destOrd="0" parTransId="{32F4FEDD-31D0-44A1-B420-DAA9397E5ADF}" sibTransId="{8C335610-F66B-4B6B-84DA-1B5C51E2B049}"/>
    <dgm:cxn modelId="{1B95AB62-1746-4645-9CBE-2C0F7557B6E3}" type="presOf" srcId="{C9E3F1D6-E23E-47E4-B266-32FB0476B02D}" destId="{48A036AA-4610-4A55-8253-7241DB38EF55}" srcOrd="0" destOrd="0" presId="urn:microsoft.com/office/officeart/2005/8/layout/hChevron3"/>
    <dgm:cxn modelId="{DA2A22A6-8A29-4AD6-B161-675FCE295A28}" srcId="{F82F5D06-23F8-4399-8C91-8086A651BF79}" destId="{D6305FD8-83C2-45FB-8DE5-86835D8DAA04}" srcOrd="1" destOrd="0" parTransId="{FC3CBC55-FB9F-4B38-8EAF-2C4F2A00D688}" sibTransId="{8C6E1C95-4F10-4E87-B4EB-73C97FF958A1}"/>
    <dgm:cxn modelId="{751C8C27-3173-4C47-B35D-BE0AE1891E98}" srcId="{F82F5D06-23F8-4399-8C91-8086A651BF79}" destId="{C9E3F1D6-E23E-47E4-B266-32FB0476B02D}" srcOrd="0" destOrd="0" parTransId="{321FBFB0-8C76-4816-B13F-FB4B92BEECC7}" sibTransId="{5C950A00-567A-4DC9-8477-A91E84439B12}"/>
    <dgm:cxn modelId="{E92EF913-46A9-48FC-B2E0-38EC414D88A5}" type="presOf" srcId="{69DC8E95-E137-4881-860C-E5B768CCC6C8}" destId="{375538B2-A668-4D1D-82E8-229EF5DA2E40}" srcOrd="0" destOrd="0" presId="urn:microsoft.com/office/officeart/2005/8/layout/hChevron3"/>
    <dgm:cxn modelId="{489D7BA4-A8B7-4FC2-ACF4-7ABED1786185}" type="presOf" srcId="{F82F5D06-23F8-4399-8C91-8086A651BF79}" destId="{C5DEEB30-4474-45B0-9ED9-6FAEC9D9C9F7}" srcOrd="0" destOrd="0" presId="urn:microsoft.com/office/officeart/2005/8/layout/hChevron3"/>
    <dgm:cxn modelId="{361E72FE-353B-42CE-A953-F688EF0875FA}" type="presParOf" srcId="{C5DEEB30-4474-45B0-9ED9-6FAEC9D9C9F7}" destId="{48A036AA-4610-4A55-8253-7241DB38EF55}" srcOrd="0" destOrd="0" presId="urn:microsoft.com/office/officeart/2005/8/layout/hChevron3"/>
    <dgm:cxn modelId="{381FD862-9F15-4527-B448-1071721969BA}" type="presParOf" srcId="{C5DEEB30-4474-45B0-9ED9-6FAEC9D9C9F7}" destId="{4148C47E-7015-499F-9F7D-B42EB5D92FE3}" srcOrd="1" destOrd="0" presId="urn:microsoft.com/office/officeart/2005/8/layout/hChevron3"/>
    <dgm:cxn modelId="{FC6F191E-20A1-4A69-98F8-C56C36C785DB}" type="presParOf" srcId="{C5DEEB30-4474-45B0-9ED9-6FAEC9D9C9F7}" destId="{DFDB3DF2-D0ED-4025-95C5-F42A97F3A35D}" srcOrd="2" destOrd="0" presId="urn:microsoft.com/office/officeart/2005/8/layout/hChevron3"/>
    <dgm:cxn modelId="{609AA29B-BFDA-43E4-B366-DE90C3C18D14}" type="presParOf" srcId="{C5DEEB30-4474-45B0-9ED9-6FAEC9D9C9F7}" destId="{D1776FB2-6A35-4865-95AC-7BFDD19D8714}" srcOrd="3" destOrd="0" presId="urn:microsoft.com/office/officeart/2005/8/layout/hChevron3"/>
    <dgm:cxn modelId="{9B6A483F-88EB-4DC5-A8A0-D32BD74D01E2}" type="presParOf" srcId="{C5DEEB30-4474-45B0-9ED9-6FAEC9D9C9F7}" destId="{375538B2-A668-4D1D-82E8-229EF5DA2E40}" srcOrd="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2F5D06-23F8-4399-8C91-8086A651BF79}" type="doc">
      <dgm:prSet loTypeId="urn:microsoft.com/office/officeart/2005/8/layout/hChevron3" loCatId="process" qsTypeId="urn:microsoft.com/office/officeart/2005/8/quickstyle/simple1" qsCatId="simple" csTypeId="urn:microsoft.com/office/officeart/2005/8/colors/accent1_2" csCatId="accent1" phldr="1"/>
      <dgm:spPr/>
    </dgm:pt>
    <dgm:pt modelId="{C9E3F1D6-E23E-47E4-B266-32FB0476B02D}">
      <dgm:prSet phldrT="[Texto]" custT="1"/>
      <dgm:spPr/>
      <dgm:t>
        <a:bodyPr/>
        <a:lstStyle/>
        <a:p>
          <a:r>
            <a:rPr lang="pt-BR" sz="900"/>
            <a:t>COMITÉ TECNICO ALARGADO</a:t>
          </a:r>
        </a:p>
        <a:p>
          <a:r>
            <a:rPr lang="pt-BR" sz="900"/>
            <a:t>Relatório semestral por parceiro</a:t>
          </a:r>
          <a:endParaRPr lang="es-ES" sz="900"/>
        </a:p>
      </dgm:t>
    </dgm:pt>
    <dgm:pt modelId="{321FBFB0-8C76-4816-B13F-FB4B92BEECC7}" type="parTrans" cxnId="{751C8C27-3173-4C47-B35D-BE0AE1891E98}">
      <dgm:prSet/>
      <dgm:spPr/>
      <dgm:t>
        <a:bodyPr/>
        <a:lstStyle/>
        <a:p>
          <a:endParaRPr lang="es-ES"/>
        </a:p>
      </dgm:t>
    </dgm:pt>
    <dgm:pt modelId="{5C950A00-567A-4DC9-8477-A91E84439B12}" type="sibTrans" cxnId="{751C8C27-3173-4C47-B35D-BE0AE1891E98}">
      <dgm:prSet/>
      <dgm:spPr/>
      <dgm:t>
        <a:bodyPr/>
        <a:lstStyle/>
        <a:p>
          <a:endParaRPr lang="es-ES"/>
        </a:p>
      </dgm:t>
    </dgm:pt>
    <dgm:pt modelId="{D6305FD8-83C2-45FB-8DE5-86835D8DAA04}">
      <dgm:prSet phldrT="[Texto]" custT="1"/>
      <dgm:spPr/>
      <dgm:t>
        <a:bodyPr/>
        <a:lstStyle/>
        <a:p>
          <a:r>
            <a:rPr lang="pt-BR" sz="900"/>
            <a:t>ICIEG</a:t>
          </a:r>
        </a:p>
        <a:p>
          <a:r>
            <a:rPr lang="pt-BR" sz="900"/>
            <a:t>Relatório anual compilado → contribuição ao relatório anual do DECRP III </a:t>
          </a:r>
          <a:endParaRPr lang="es-ES" sz="900"/>
        </a:p>
        <a:p>
          <a:endParaRPr lang="es-ES" sz="700"/>
        </a:p>
      </dgm:t>
    </dgm:pt>
    <dgm:pt modelId="{FC3CBC55-FB9F-4B38-8EAF-2C4F2A00D688}" type="parTrans" cxnId="{DA2A22A6-8A29-4AD6-B161-675FCE295A28}">
      <dgm:prSet/>
      <dgm:spPr/>
      <dgm:t>
        <a:bodyPr/>
        <a:lstStyle/>
        <a:p>
          <a:endParaRPr lang="es-ES"/>
        </a:p>
      </dgm:t>
    </dgm:pt>
    <dgm:pt modelId="{8C6E1C95-4F10-4E87-B4EB-73C97FF958A1}" type="sibTrans" cxnId="{DA2A22A6-8A29-4AD6-B161-675FCE295A28}">
      <dgm:prSet/>
      <dgm:spPr/>
      <dgm:t>
        <a:bodyPr/>
        <a:lstStyle/>
        <a:p>
          <a:endParaRPr lang="es-ES"/>
        </a:p>
      </dgm:t>
    </dgm:pt>
    <dgm:pt modelId="{69DC8E95-E137-4881-860C-E5B768CCC6C8}">
      <dgm:prSet phldrT="[Texto]"/>
      <dgm:spPr/>
      <dgm:t>
        <a:bodyPr/>
        <a:lstStyle/>
        <a:p>
          <a:r>
            <a:rPr lang="pt-BR"/>
            <a:t>CONSELHO DE MINISTROS. </a:t>
          </a:r>
          <a:endParaRPr lang="es-ES"/>
        </a:p>
        <a:p>
          <a:r>
            <a:rPr lang="pt-BR"/>
            <a:t>Relatório anual  Relatório final de avaliação</a:t>
          </a:r>
          <a:endParaRPr lang="es-ES"/>
        </a:p>
      </dgm:t>
    </dgm:pt>
    <dgm:pt modelId="{32F4FEDD-31D0-44A1-B420-DAA9397E5ADF}" type="parTrans" cxnId="{071D3986-8E9C-41E2-ADBD-FDF772B62561}">
      <dgm:prSet/>
      <dgm:spPr/>
      <dgm:t>
        <a:bodyPr/>
        <a:lstStyle/>
        <a:p>
          <a:endParaRPr lang="es-ES"/>
        </a:p>
      </dgm:t>
    </dgm:pt>
    <dgm:pt modelId="{8C335610-F66B-4B6B-84DA-1B5C51E2B049}" type="sibTrans" cxnId="{071D3986-8E9C-41E2-ADBD-FDF772B62561}">
      <dgm:prSet/>
      <dgm:spPr/>
      <dgm:t>
        <a:bodyPr/>
        <a:lstStyle/>
        <a:p>
          <a:endParaRPr lang="es-ES"/>
        </a:p>
      </dgm:t>
    </dgm:pt>
    <dgm:pt modelId="{C5DEEB30-4474-45B0-9ED9-6FAEC9D9C9F7}" type="pres">
      <dgm:prSet presAssocID="{F82F5D06-23F8-4399-8C91-8086A651BF79}" presName="Name0" presStyleCnt="0">
        <dgm:presLayoutVars>
          <dgm:dir/>
          <dgm:resizeHandles val="exact"/>
        </dgm:presLayoutVars>
      </dgm:prSet>
      <dgm:spPr/>
    </dgm:pt>
    <dgm:pt modelId="{48A036AA-4610-4A55-8253-7241DB38EF55}" type="pres">
      <dgm:prSet presAssocID="{C9E3F1D6-E23E-47E4-B266-32FB0476B02D}" presName="parTxOnly" presStyleLbl="node1" presStyleIdx="0" presStyleCnt="3">
        <dgm:presLayoutVars>
          <dgm:bulletEnabled val="1"/>
        </dgm:presLayoutVars>
      </dgm:prSet>
      <dgm:spPr/>
    </dgm:pt>
    <dgm:pt modelId="{4148C47E-7015-499F-9F7D-B42EB5D92FE3}" type="pres">
      <dgm:prSet presAssocID="{5C950A00-567A-4DC9-8477-A91E84439B12}" presName="parSpace" presStyleCnt="0"/>
      <dgm:spPr/>
    </dgm:pt>
    <dgm:pt modelId="{DFDB3DF2-D0ED-4025-95C5-F42A97F3A35D}" type="pres">
      <dgm:prSet presAssocID="{D6305FD8-83C2-45FB-8DE5-86835D8DAA04}" presName="parTxOnly" presStyleLbl="node1" presStyleIdx="1" presStyleCnt="3">
        <dgm:presLayoutVars>
          <dgm:bulletEnabled val="1"/>
        </dgm:presLayoutVars>
      </dgm:prSet>
      <dgm:spPr/>
    </dgm:pt>
    <dgm:pt modelId="{D1776FB2-6A35-4865-95AC-7BFDD19D8714}" type="pres">
      <dgm:prSet presAssocID="{8C6E1C95-4F10-4E87-B4EB-73C97FF958A1}" presName="parSpace" presStyleCnt="0"/>
      <dgm:spPr/>
    </dgm:pt>
    <dgm:pt modelId="{375538B2-A668-4D1D-82E8-229EF5DA2E40}" type="pres">
      <dgm:prSet presAssocID="{69DC8E95-E137-4881-860C-E5B768CCC6C8}" presName="parTxOnly" presStyleLbl="node1" presStyleIdx="2" presStyleCnt="3">
        <dgm:presLayoutVars>
          <dgm:bulletEnabled val="1"/>
        </dgm:presLayoutVars>
      </dgm:prSet>
      <dgm:spPr/>
    </dgm:pt>
  </dgm:ptLst>
  <dgm:cxnLst>
    <dgm:cxn modelId="{1DC147DA-48D3-439F-8D50-4B3994C3373C}" type="presOf" srcId="{D6305FD8-83C2-45FB-8DE5-86835D8DAA04}" destId="{DFDB3DF2-D0ED-4025-95C5-F42A97F3A35D}" srcOrd="0" destOrd="0" presId="urn:microsoft.com/office/officeart/2005/8/layout/hChevron3"/>
    <dgm:cxn modelId="{071D3986-8E9C-41E2-ADBD-FDF772B62561}" srcId="{F82F5D06-23F8-4399-8C91-8086A651BF79}" destId="{69DC8E95-E137-4881-860C-E5B768CCC6C8}" srcOrd="2" destOrd="0" parTransId="{32F4FEDD-31D0-44A1-B420-DAA9397E5ADF}" sibTransId="{8C335610-F66B-4B6B-84DA-1B5C51E2B049}"/>
    <dgm:cxn modelId="{1B95AB62-1746-4645-9CBE-2C0F7557B6E3}" type="presOf" srcId="{C9E3F1D6-E23E-47E4-B266-32FB0476B02D}" destId="{48A036AA-4610-4A55-8253-7241DB38EF55}" srcOrd="0" destOrd="0" presId="urn:microsoft.com/office/officeart/2005/8/layout/hChevron3"/>
    <dgm:cxn modelId="{DA2A22A6-8A29-4AD6-B161-675FCE295A28}" srcId="{F82F5D06-23F8-4399-8C91-8086A651BF79}" destId="{D6305FD8-83C2-45FB-8DE5-86835D8DAA04}" srcOrd="1" destOrd="0" parTransId="{FC3CBC55-FB9F-4B38-8EAF-2C4F2A00D688}" sibTransId="{8C6E1C95-4F10-4E87-B4EB-73C97FF958A1}"/>
    <dgm:cxn modelId="{751C8C27-3173-4C47-B35D-BE0AE1891E98}" srcId="{F82F5D06-23F8-4399-8C91-8086A651BF79}" destId="{C9E3F1D6-E23E-47E4-B266-32FB0476B02D}" srcOrd="0" destOrd="0" parTransId="{321FBFB0-8C76-4816-B13F-FB4B92BEECC7}" sibTransId="{5C950A00-567A-4DC9-8477-A91E84439B12}"/>
    <dgm:cxn modelId="{E92EF913-46A9-48FC-B2E0-38EC414D88A5}" type="presOf" srcId="{69DC8E95-E137-4881-860C-E5B768CCC6C8}" destId="{375538B2-A668-4D1D-82E8-229EF5DA2E40}" srcOrd="0" destOrd="0" presId="urn:microsoft.com/office/officeart/2005/8/layout/hChevron3"/>
    <dgm:cxn modelId="{489D7BA4-A8B7-4FC2-ACF4-7ABED1786185}" type="presOf" srcId="{F82F5D06-23F8-4399-8C91-8086A651BF79}" destId="{C5DEEB30-4474-45B0-9ED9-6FAEC9D9C9F7}" srcOrd="0" destOrd="0" presId="urn:microsoft.com/office/officeart/2005/8/layout/hChevron3"/>
    <dgm:cxn modelId="{361E72FE-353B-42CE-A953-F688EF0875FA}" type="presParOf" srcId="{C5DEEB30-4474-45B0-9ED9-6FAEC9D9C9F7}" destId="{48A036AA-4610-4A55-8253-7241DB38EF55}" srcOrd="0" destOrd="0" presId="urn:microsoft.com/office/officeart/2005/8/layout/hChevron3"/>
    <dgm:cxn modelId="{381FD862-9F15-4527-B448-1071721969BA}" type="presParOf" srcId="{C5DEEB30-4474-45B0-9ED9-6FAEC9D9C9F7}" destId="{4148C47E-7015-499F-9F7D-B42EB5D92FE3}" srcOrd="1" destOrd="0" presId="urn:microsoft.com/office/officeart/2005/8/layout/hChevron3"/>
    <dgm:cxn modelId="{FC6F191E-20A1-4A69-98F8-C56C36C785DB}" type="presParOf" srcId="{C5DEEB30-4474-45B0-9ED9-6FAEC9D9C9F7}" destId="{DFDB3DF2-D0ED-4025-95C5-F42A97F3A35D}" srcOrd="2" destOrd="0" presId="urn:microsoft.com/office/officeart/2005/8/layout/hChevron3"/>
    <dgm:cxn modelId="{609AA29B-BFDA-43E4-B366-DE90C3C18D14}" type="presParOf" srcId="{C5DEEB30-4474-45B0-9ED9-6FAEC9D9C9F7}" destId="{D1776FB2-6A35-4865-95AC-7BFDD19D8714}" srcOrd="3" destOrd="0" presId="urn:microsoft.com/office/officeart/2005/8/layout/hChevron3"/>
    <dgm:cxn modelId="{9B6A483F-88EB-4DC5-A8A0-D32BD74D01E2}" type="presParOf" srcId="{C5DEEB30-4474-45B0-9ED9-6FAEC9D9C9F7}" destId="{375538B2-A668-4D1D-82E8-229EF5DA2E40}" srcOrd="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55F9DB-4E8F-4B1F-A208-F0DD6ECCADBE}">
      <dsp:nvSpPr>
        <dsp:cNvPr id="0" name=""/>
        <dsp:cNvSpPr/>
      </dsp:nvSpPr>
      <dsp:spPr>
        <a:xfrm>
          <a:off x="1011380" y="591"/>
          <a:ext cx="1139539" cy="5697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Pobreza</a:t>
          </a:r>
        </a:p>
      </dsp:txBody>
      <dsp:txXfrm>
        <a:off x="1028068" y="17279"/>
        <a:ext cx="1106163" cy="536393"/>
      </dsp:txXfrm>
    </dsp:sp>
    <dsp:sp modelId="{9BC530FF-739C-4166-8F27-F9F86FF161CC}">
      <dsp:nvSpPr>
        <dsp:cNvPr id="0" name=""/>
        <dsp:cNvSpPr/>
      </dsp:nvSpPr>
      <dsp:spPr>
        <a:xfrm rot="3600000">
          <a:off x="1760606" y="1000427"/>
          <a:ext cx="581777" cy="19941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1820432" y="1040311"/>
        <a:ext cx="462125" cy="119651"/>
      </dsp:txXfrm>
    </dsp:sp>
    <dsp:sp modelId="{6330D29C-CF6F-4C96-8634-88D4B1022958}">
      <dsp:nvSpPr>
        <dsp:cNvPr id="0" name=""/>
        <dsp:cNvSpPr/>
      </dsp:nvSpPr>
      <dsp:spPr>
        <a:xfrm>
          <a:off x="1952069" y="1629913"/>
          <a:ext cx="1139539" cy="5697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Desigualdade de género</a:t>
          </a:r>
        </a:p>
      </dsp:txBody>
      <dsp:txXfrm>
        <a:off x="1968757" y="1646601"/>
        <a:ext cx="1106163" cy="536393"/>
      </dsp:txXfrm>
    </dsp:sp>
    <dsp:sp modelId="{FFBFA061-7A4C-4A55-ADE9-74493E2D467A}">
      <dsp:nvSpPr>
        <dsp:cNvPr id="0" name=""/>
        <dsp:cNvSpPr/>
      </dsp:nvSpPr>
      <dsp:spPr>
        <a:xfrm rot="10799163">
          <a:off x="1297570" y="1815316"/>
          <a:ext cx="581777" cy="19941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rot="10800000">
        <a:off x="1357396" y="1855200"/>
        <a:ext cx="462125" cy="119651"/>
      </dsp:txXfrm>
    </dsp:sp>
    <dsp:sp modelId="{AC3B9481-7042-44D3-9E1E-91CF37705618}">
      <dsp:nvSpPr>
        <dsp:cNvPr id="0" name=""/>
        <dsp:cNvSpPr/>
      </dsp:nvSpPr>
      <dsp:spPr>
        <a:xfrm>
          <a:off x="85308" y="1630368"/>
          <a:ext cx="1139539" cy="5697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Maior carga de trabalho reprodutivo</a:t>
          </a:r>
        </a:p>
      </dsp:txBody>
      <dsp:txXfrm>
        <a:off x="101996" y="1647056"/>
        <a:ext cx="1106163" cy="536393"/>
      </dsp:txXfrm>
    </dsp:sp>
    <dsp:sp modelId="{6E9D247E-7D3C-4CE4-800F-DB891C57A713}">
      <dsp:nvSpPr>
        <dsp:cNvPr id="0" name=""/>
        <dsp:cNvSpPr/>
      </dsp:nvSpPr>
      <dsp:spPr>
        <a:xfrm rot="17976366">
          <a:off x="827225" y="1000655"/>
          <a:ext cx="581777" cy="19941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887051" y="1040539"/>
        <a:ext cx="462125" cy="1196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A036AA-4610-4A55-8253-7241DB38EF55}">
      <dsp:nvSpPr>
        <dsp:cNvPr id="0" name=""/>
        <dsp:cNvSpPr/>
      </dsp:nvSpPr>
      <dsp:spPr>
        <a:xfrm>
          <a:off x="2112" y="130829"/>
          <a:ext cx="1847445" cy="738978"/>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pt-BR" sz="900" kern="1200"/>
            <a:t>COMITÉ TECNICO ALARGADO</a:t>
          </a:r>
        </a:p>
        <a:p>
          <a:pPr marL="0" lvl="0" indent="0" algn="ctr" defTabSz="400050">
            <a:lnSpc>
              <a:spcPct val="90000"/>
            </a:lnSpc>
            <a:spcBef>
              <a:spcPct val="0"/>
            </a:spcBef>
            <a:spcAft>
              <a:spcPct val="35000"/>
            </a:spcAft>
            <a:buNone/>
          </a:pPr>
          <a:r>
            <a:rPr lang="pt-BR" sz="900" kern="1200"/>
            <a:t>Relatório semestral por parceiro</a:t>
          </a:r>
          <a:endParaRPr lang="es-ES" sz="900" kern="1200"/>
        </a:p>
      </dsp:txBody>
      <dsp:txXfrm>
        <a:off x="2112" y="130829"/>
        <a:ext cx="1662701" cy="738978"/>
      </dsp:txXfrm>
    </dsp:sp>
    <dsp:sp modelId="{DFDB3DF2-D0ED-4025-95C5-F42A97F3A35D}">
      <dsp:nvSpPr>
        <dsp:cNvPr id="0" name=""/>
        <dsp:cNvSpPr/>
      </dsp:nvSpPr>
      <dsp:spPr>
        <a:xfrm>
          <a:off x="1480069" y="130829"/>
          <a:ext cx="1847445" cy="7389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pt-BR" sz="900" kern="1200"/>
            <a:t>ICIEG</a:t>
          </a:r>
        </a:p>
        <a:p>
          <a:pPr marL="0" lvl="0" indent="0" algn="ctr" defTabSz="400050">
            <a:lnSpc>
              <a:spcPct val="90000"/>
            </a:lnSpc>
            <a:spcBef>
              <a:spcPct val="0"/>
            </a:spcBef>
            <a:spcAft>
              <a:spcPct val="35000"/>
            </a:spcAft>
            <a:buNone/>
          </a:pPr>
          <a:r>
            <a:rPr lang="pt-BR" sz="900" kern="1200"/>
            <a:t>Relatório anual compilado → contribuição ao relatório anual do DECRP III </a:t>
          </a:r>
          <a:endParaRPr lang="es-ES" sz="900" kern="1200"/>
        </a:p>
        <a:p>
          <a:pPr marL="0" lvl="0" indent="0" algn="ctr" defTabSz="400050">
            <a:lnSpc>
              <a:spcPct val="90000"/>
            </a:lnSpc>
            <a:spcBef>
              <a:spcPct val="0"/>
            </a:spcBef>
            <a:spcAft>
              <a:spcPct val="35000"/>
            </a:spcAft>
            <a:buNone/>
          </a:pPr>
          <a:endParaRPr lang="es-ES" sz="700" kern="1200"/>
        </a:p>
      </dsp:txBody>
      <dsp:txXfrm>
        <a:off x="1849558" y="130829"/>
        <a:ext cx="1108467" cy="738978"/>
      </dsp:txXfrm>
    </dsp:sp>
    <dsp:sp modelId="{375538B2-A668-4D1D-82E8-229EF5DA2E40}">
      <dsp:nvSpPr>
        <dsp:cNvPr id="0" name=""/>
        <dsp:cNvSpPr/>
      </dsp:nvSpPr>
      <dsp:spPr>
        <a:xfrm>
          <a:off x="2958026" y="130829"/>
          <a:ext cx="1847445" cy="7389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pt-BR" sz="900" kern="1200"/>
            <a:t>CONSELHO DE MINISTROS. </a:t>
          </a:r>
          <a:endParaRPr lang="es-ES" sz="900" kern="1200"/>
        </a:p>
        <a:p>
          <a:pPr marL="0" lvl="0" indent="0" algn="ctr" defTabSz="400050">
            <a:lnSpc>
              <a:spcPct val="90000"/>
            </a:lnSpc>
            <a:spcBef>
              <a:spcPct val="0"/>
            </a:spcBef>
            <a:spcAft>
              <a:spcPct val="35000"/>
            </a:spcAft>
            <a:buNone/>
          </a:pPr>
          <a:r>
            <a:rPr lang="pt-BR" sz="900" kern="1200"/>
            <a:t>Relatório anual  Relatório final de avaliação</a:t>
          </a:r>
          <a:endParaRPr lang="es-ES" sz="900" kern="1200"/>
        </a:p>
      </dsp:txBody>
      <dsp:txXfrm>
        <a:off x="3327515" y="130829"/>
        <a:ext cx="1108467" cy="738978"/>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85663F-8FEC-4B4B-9622-E3BCDD8E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50652</Words>
  <Characters>273523</Characters>
  <Application>Microsoft Office Word</Application>
  <DocSecurity>0</DocSecurity>
  <Lines>2279</Lines>
  <Paragraphs>647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Damaris Rosabal</cp:lastModifiedBy>
  <cp:revision>3</cp:revision>
  <cp:lastPrinted>2014-10-28T08:57:00Z</cp:lastPrinted>
  <dcterms:created xsi:type="dcterms:W3CDTF">2016-10-17T14:58:00Z</dcterms:created>
  <dcterms:modified xsi:type="dcterms:W3CDTF">2016-10-17T14:58:00Z</dcterms:modified>
</cp:coreProperties>
</file>