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F4116" w14:textId="77777777" w:rsidR="005A004E" w:rsidRPr="00FB5EBB" w:rsidRDefault="000361CD" w:rsidP="003649ED">
      <w:pPr>
        <w:pStyle w:val="SemEspaamento"/>
        <w:jc w:val="right"/>
      </w:pPr>
      <w:r>
        <w:rPr>
          <w:rFonts w:cs="Arial"/>
          <w:b/>
          <w:sz w:val="28"/>
          <w:szCs w:val="28"/>
        </w:rPr>
        <w:t>Janeiro</w:t>
      </w:r>
      <w:r w:rsidR="0081597D" w:rsidRPr="00FB5EBB">
        <w:rPr>
          <w:rFonts w:cs="Arial"/>
          <w:b/>
          <w:sz w:val="28"/>
          <w:szCs w:val="28"/>
        </w:rPr>
        <w:t xml:space="preserve"> de 20</w:t>
      </w:r>
      <w:r w:rsidR="00E66E9E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9"/>
        <w:gridCol w:w="3604"/>
      </w:tblGrid>
      <w:tr w:rsidR="00493B14" w14:paraId="37039C56" w14:textId="77777777" w:rsidTr="001075EE">
        <w:trPr>
          <w:trHeight w:val="464"/>
        </w:trPr>
        <w:tc>
          <w:tcPr>
            <w:tcW w:w="9623" w:type="dxa"/>
            <w:gridSpan w:val="2"/>
          </w:tcPr>
          <w:p w14:paraId="1A90907C" w14:textId="77777777" w:rsidR="00EA42CB" w:rsidRPr="0047394D" w:rsidRDefault="000361CD" w:rsidP="00EA42CB">
            <w:pPr>
              <w:jc w:val="both"/>
              <w:rPr>
                <w:rFonts w:cs="Arial"/>
                <w:b/>
              </w:rPr>
            </w:pPr>
            <w:r w:rsidRPr="004B7968">
              <w:rPr>
                <w:rFonts w:cs="Arial"/>
                <w:b/>
                <w:sz w:val="32"/>
              </w:rPr>
              <w:t>Indicadores de Atividade do Sector Serviços</w:t>
            </w:r>
          </w:p>
        </w:tc>
      </w:tr>
      <w:tr w:rsidR="00493B14" w14:paraId="08273674" w14:textId="77777777" w:rsidTr="001075EE">
        <w:trPr>
          <w:trHeight w:val="391"/>
        </w:trPr>
        <w:tc>
          <w:tcPr>
            <w:tcW w:w="6019" w:type="dxa"/>
          </w:tcPr>
          <w:p w14:paraId="20915BC9" w14:textId="77777777" w:rsidR="00EA42CB" w:rsidRPr="00620C4E" w:rsidRDefault="000361CD" w:rsidP="00410E07">
            <w:pPr>
              <w:pStyle w:val="SemEspaamento"/>
              <w:spacing w:before="240"/>
            </w:pPr>
            <w:r>
              <w:rPr>
                <w:b/>
              </w:rPr>
              <w:t>3</w:t>
            </w:r>
            <w:r w:rsidR="00530907">
              <w:rPr>
                <w:b/>
              </w:rPr>
              <w:t>º</w:t>
            </w:r>
            <w:r w:rsidR="00BD1988">
              <w:rPr>
                <w:b/>
              </w:rPr>
              <w:t>Trimestre 20</w:t>
            </w:r>
            <w:r w:rsidR="00530907">
              <w:rPr>
                <w:b/>
              </w:rPr>
              <w:t>20</w:t>
            </w:r>
          </w:p>
        </w:tc>
        <w:tc>
          <w:tcPr>
            <w:tcW w:w="3604" w:type="dxa"/>
            <w:vMerge w:val="restart"/>
          </w:tcPr>
          <w:p w14:paraId="037AE339" w14:textId="77777777" w:rsidR="00EA42CB" w:rsidRPr="003649ED" w:rsidRDefault="000361CD" w:rsidP="00B53329">
            <w:pPr>
              <w:pStyle w:val="SemEspaamento"/>
              <w:spacing w:before="240"/>
              <w:rPr>
                <w:b/>
              </w:rPr>
            </w:pPr>
            <w:r>
              <w:rPr>
                <w:b/>
              </w:rPr>
              <w:t>Contacto</w:t>
            </w:r>
            <w:r w:rsidR="001075EE">
              <w:rPr>
                <w:b/>
              </w:rPr>
              <w:t xml:space="preserve"> (s):</w:t>
            </w:r>
          </w:p>
          <w:p w14:paraId="1C6BB3D6" w14:textId="77777777" w:rsidR="00BC6256" w:rsidRPr="0081597D" w:rsidRDefault="000361CD" w:rsidP="00BC6256">
            <w:pPr>
              <w:rPr>
                <w:rFonts w:cs="Arial"/>
                <w:color w:val="000000"/>
                <w:sz w:val="22"/>
              </w:rPr>
            </w:pPr>
            <w:r w:rsidRPr="0081597D">
              <w:rPr>
                <w:rFonts w:cs="Arial"/>
                <w:color w:val="000000"/>
                <w:sz w:val="22"/>
              </w:rPr>
              <w:t>Fernando Lopes Rocha</w:t>
            </w:r>
          </w:p>
          <w:p w14:paraId="6ADEE012" w14:textId="77777777" w:rsidR="00BC6256" w:rsidRDefault="000361CD" w:rsidP="00BC6256">
            <w:pPr>
              <w:autoSpaceDE w:val="0"/>
              <w:autoSpaceDN w:val="0"/>
              <w:adjustRightInd w:val="0"/>
              <w:rPr>
                <w:rStyle w:val="Hiperligao"/>
                <w:color w:val="0000FF"/>
                <w:sz w:val="20"/>
                <w:szCs w:val="20"/>
              </w:rPr>
            </w:pPr>
            <w:hyperlink r:id="rId8" w:history="1">
              <w:r w:rsidRPr="00447D92">
                <w:rPr>
                  <w:rStyle w:val="Hiperligao"/>
                  <w:sz w:val="20"/>
                  <w:szCs w:val="20"/>
                </w:rPr>
                <w:t>frocha@ine.gov.cv</w:t>
              </w:r>
            </w:hyperlink>
          </w:p>
          <w:p w14:paraId="03470FC0" w14:textId="77777777" w:rsidR="00BC6256" w:rsidRDefault="000361CD" w:rsidP="00BC625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1075EE">
              <w:rPr>
                <w:rFonts w:cs="Arial"/>
                <w:color w:val="000000"/>
                <w:sz w:val="22"/>
              </w:rPr>
              <w:t>Olga Cruz</w:t>
            </w:r>
          </w:p>
          <w:p w14:paraId="5833D9F1" w14:textId="77777777" w:rsidR="00BC6256" w:rsidRDefault="000361CD" w:rsidP="00BC6256">
            <w:pPr>
              <w:autoSpaceDE w:val="0"/>
              <w:autoSpaceDN w:val="0"/>
              <w:adjustRightInd w:val="0"/>
              <w:rPr>
                <w:color w:val="1F497D"/>
                <w:sz w:val="20"/>
                <w:szCs w:val="20"/>
                <w:lang w:eastAsia="pt-PT"/>
              </w:rPr>
            </w:pPr>
            <w:hyperlink r:id="rId9" w:history="1">
              <w:r>
                <w:rPr>
                  <w:rStyle w:val="Hiperligao"/>
                  <w:color w:val="0000FF"/>
                  <w:sz w:val="20"/>
                  <w:szCs w:val="20"/>
                  <w:lang w:eastAsia="pt-PT"/>
                </w:rPr>
                <w:t>olga.cruz@ine.gov.cv</w:t>
              </w:r>
            </w:hyperlink>
          </w:p>
          <w:p w14:paraId="583CDE4D" w14:textId="77777777" w:rsidR="00EA42CB" w:rsidRPr="00B42B51" w:rsidRDefault="000361CD" w:rsidP="00B5332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B42B51">
              <w:rPr>
                <w:rFonts w:cs="Arial"/>
                <w:color w:val="000000"/>
                <w:sz w:val="22"/>
              </w:rPr>
              <w:t>Edmar Sanches</w:t>
            </w:r>
          </w:p>
          <w:p w14:paraId="32290218" w14:textId="77777777" w:rsidR="00EA42CB" w:rsidRPr="001075EE" w:rsidRDefault="000361CD" w:rsidP="001075EE">
            <w:pPr>
              <w:autoSpaceDE w:val="0"/>
              <w:autoSpaceDN w:val="0"/>
              <w:adjustRightInd w:val="0"/>
              <w:rPr>
                <w:rStyle w:val="Hiperligao"/>
                <w:color w:val="0000FF"/>
                <w:sz w:val="20"/>
                <w:szCs w:val="20"/>
                <w:lang w:eastAsia="pt-PT"/>
              </w:rPr>
            </w:pPr>
            <w:hyperlink r:id="rId10" w:history="1">
              <w:r w:rsidRPr="001075EE">
                <w:rPr>
                  <w:rStyle w:val="Hiperligao"/>
                  <w:color w:val="0000FF"/>
                  <w:sz w:val="20"/>
                  <w:szCs w:val="20"/>
                  <w:lang w:eastAsia="pt-PT"/>
                </w:rPr>
                <w:t>Edmar.Sanches@ine.gov.cv</w:t>
              </w:r>
            </w:hyperlink>
            <w:r w:rsidRPr="001075EE">
              <w:rPr>
                <w:rStyle w:val="Hiperligao"/>
                <w:color w:val="0000FF"/>
                <w:sz w:val="20"/>
                <w:szCs w:val="20"/>
                <w:lang w:eastAsia="pt-PT"/>
              </w:rPr>
              <w:t xml:space="preserve"> </w:t>
            </w:r>
          </w:p>
          <w:p w14:paraId="6A422F8D" w14:textId="77777777" w:rsidR="001075EE" w:rsidRPr="001075EE" w:rsidRDefault="001075EE" w:rsidP="001075E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493B14" w14:paraId="4AC9DF34" w14:textId="77777777" w:rsidTr="001075EE">
        <w:trPr>
          <w:trHeight w:val="1595"/>
        </w:trPr>
        <w:tc>
          <w:tcPr>
            <w:tcW w:w="6019" w:type="dxa"/>
            <w:vAlign w:val="bottom"/>
          </w:tcPr>
          <w:p w14:paraId="6360A7C7" w14:textId="77777777" w:rsidR="00EA42CB" w:rsidRDefault="000361CD" w:rsidP="009A70DF">
            <w:pPr>
              <w:pStyle w:val="SemEspaamento"/>
            </w:pPr>
            <w:r w:rsidRPr="00560548">
              <w:rPr>
                <w:b/>
              </w:rPr>
              <w:t>Próxima edição:</w:t>
            </w:r>
            <w:r w:rsidRPr="00560548">
              <w:t xml:space="preserve"> </w:t>
            </w:r>
            <w:r w:rsidR="003F4660" w:rsidRPr="003F4660">
              <w:rPr>
                <w:b/>
                <w:bCs/>
              </w:rPr>
              <w:t>26</w:t>
            </w:r>
            <w:r w:rsidR="00F97C63" w:rsidRPr="003F466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F35FFC" w:rsidRPr="00FB5EBB">
              <w:rPr>
                <w:rFonts w:cs="Arial"/>
                <w:b/>
                <w:sz w:val="24"/>
                <w:szCs w:val="24"/>
              </w:rPr>
              <w:t xml:space="preserve">de </w:t>
            </w:r>
            <w:r w:rsidR="003F4660">
              <w:rPr>
                <w:rFonts w:cs="Arial"/>
                <w:b/>
                <w:sz w:val="24"/>
                <w:szCs w:val="24"/>
              </w:rPr>
              <w:t>Fevereiro</w:t>
            </w:r>
            <w:r w:rsidR="00F97C6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B5EBB">
              <w:rPr>
                <w:rFonts w:cs="Arial"/>
                <w:b/>
                <w:sz w:val="24"/>
                <w:szCs w:val="24"/>
              </w:rPr>
              <w:t>20</w:t>
            </w:r>
            <w:r w:rsidR="009A70DF">
              <w:rPr>
                <w:rFonts w:cs="Arial"/>
                <w:b/>
                <w:sz w:val="24"/>
                <w:szCs w:val="24"/>
              </w:rPr>
              <w:t>2</w:t>
            </w:r>
            <w:r w:rsidR="003F4660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3604" w:type="dxa"/>
            <w:vMerge/>
          </w:tcPr>
          <w:p w14:paraId="0E115A82" w14:textId="77777777" w:rsidR="00EA42CB" w:rsidRDefault="00EA42CB" w:rsidP="00B53329">
            <w:pPr>
              <w:rPr>
                <w:rFonts w:cs="Arial"/>
              </w:rPr>
            </w:pPr>
          </w:p>
        </w:tc>
      </w:tr>
    </w:tbl>
    <w:p w14:paraId="3D84ADA6" w14:textId="77777777" w:rsidR="00EA42CB" w:rsidRDefault="00EA42CB" w:rsidP="00EA42CB">
      <w:pPr>
        <w:pStyle w:val="SemEspaamen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493B14" w14:paraId="100136BD" w14:textId="77777777" w:rsidTr="00DB2275">
        <w:trPr>
          <w:trHeight w:val="2846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069864" w14:textId="77777777" w:rsidR="000452B6" w:rsidRPr="000452B6" w:rsidRDefault="000361CD" w:rsidP="000452B6">
            <w:pPr>
              <w:pStyle w:val="SemEspaamento"/>
              <w:spacing w:before="60" w:after="60" w:line="360" w:lineRule="auto"/>
              <w:jc w:val="both"/>
            </w:pPr>
            <w:bookmarkStart w:id="0" w:name="_Hlk60846421"/>
            <w:r w:rsidRPr="000452B6">
              <w:t xml:space="preserve">O índice de volume de negócios registou no terceiro </w:t>
            </w:r>
            <w:r w:rsidRPr="000452B6">
              <w:t>trimestre de 2020, uma variação homóloga de -41,9%, resultado superior em 8,5 pontos percentuais (p.p) ao observado no trimestre anterio</w:t>
            </w:r>
            <w:bookmarkEnd w:id="0"/>
            <w:r w:rsidRPr="000452B6">
              <w:t>r</w:t>
            </w:r>
            <w:r>
              <w:t>.</w:t>
            </w:r>
          </w:p>
          <w:p w14:paraId="6610FB0F" w14:textId="77777777" w:rsidR="00DB2275" w:rsidRDefault="000361CD" w:rsidP="009A70DF">
            <w:pPr>
              <w:pStyle w:val="SemEspaamento"/>
              <w:spacing w:before="60" w:after="60" w:line="360" w:lineRule="auto"/>
              <w:jc w:val="both"/>
            </w:pPr>
            <w:r>
              <w:t>Importa realçar que em termos trimestral, o índice de volume de negócios aumentou 26,1%.</w:t>
            </w:r>
          </w:p>
          <w:p w14:paraId="347C5A46" w14:textId="77777777" w:rsidR="00303C75" w:rsidRDefault="000361CD" w:rsidP="009A70DF">
            <w:pPr>
              <w:pStyle w:val="SemEspaamento"/>
              <w:spacing w:before="60" w:after="60" w:line="360" w:lineRule="auto"/>
              <w:jc w:val="both"/>
            </w:pPr>
            <w:r w:rsidRPr="00091B9D">
              <w:t>Os índices de emprego a temp</w:t>
            </w:r>
            <w:r w:rsidRPr="00091B9D">
              <w:t xml:space="preserve">o integral e total registaram variações homólogas de </w:t>
            </w:r>
            <w:r w:rsidR="000E3308" w:rsidRPr="000E3308">
              <w:t xml:space="preserve">- </w:t>
            </w:r>
            <w:r w:rsidR="003F4660">
              <w:t>17</w:t>
            </w:r>
            <w:r w:rsidR="000E3308" w:rsidRPr="000E3308">
              <w:t>,</w:t>
            </w:r>
            <w:r w:rsidR="00333581">
              <w:t>3</w:t>
            </w:r>
            <w:r w:rsidRPr="000E3308">
              <w:t>%</w:t>
            </w:r>
            <w:r w:rsidR="0081597D" w:rsidRPr="000E3308">
              <w:t xml:space="preserve"> e </w:t>
            </w:r>
          </w:p>
          <w:p w14:paraId="219FF185" w14:textId="77777777" w:rsidR="00EA42CB" w:rsidRDefault="000361CD" w:rsidP="009A70DF">
            <w:pPr>
              <w:pStyle w:val="SemEspaamento"/>
              <w:spacing w:before="60" w:after="60" w:line="360" w:lineRule="auto"/>
              <w:jc w:val="both"/>
            </w:pPr>
            <w:r>
              <w:t xml:space="preserve">- </w:t>
            </w:r>
            <w:r w:rsidR="003F4660">
              <w:t>1</w:t>
            </w:r>
            <w:r w:rsidR="00333581">
              <w:t>6,9</w:t>
            </w:r>
            <w:r w:rsidR="002802DE" w:rsidRPr="000E3308">
              <w:t xml:space="preserve">%, </w:t>
            </w:r>
            <w:r w:rsidR="002802DE">
              <w:t xml:space="preserve">respetivamente. </w:t>
            </w:r>
            <w:r w:rsidRPr="00CC1BA4">
              <w:t xml:space="preserve">O índice de remunerações brutas </w:t>
            </w:r>
            <w:r w:rsidR="000E3308">
              <w:t xml:space="preserve">registou uma diminuição de </w:t>
            </w:r>
            <w:r w:rsidR="000E3308" w:rsidRPr="000E3308">
              <w:t>2</w:t>
            </w:r>
            <w:r w:rsidR="005B0511">
              <w:t>5</w:t>
            </w:r>
            <w:r w:rsidR="000E3308" w:rsidRPr="000E3308">
              <w:t>,</w:t>
            </w:r>
            <w:r w:rsidR="003F4660">
              <w:t>8</w:t>
            </w:r>
            <w:r w:rsidRPr="000E3308">
              <w:t>%</w:t>
            </w:r>
            <w:r w:rsidR="00377413" w:rsidRPr="000E3308">
              <w:t xml:space="preserve"> </w:t>
            </w:r>
            <w:r w:rsidR="008A4FE4">
              <w:t xml:space="preserve">em </w:t>
            </w:r>
            <w:r w:rsidR="00377413" w:rsidRPr="000E3308">
              <w:t xml:space="preserve">termos </w:t>
            </w:r>
            <w:r w:rsidR="00377413">
              <w:t>homólogos</w:t>
            </w:r>
            <w:r w:rsidRPr="00CC1BA4">
              <w:t>.</w:t>
            </w:r>
            <w:r w:rsidRPr="00D5175F">
              <w:rPr>
                <w:color w:val="FF0000"/>
              </w:rPr>
              <w:t xml:space="preserve"> </w:t>
            </w:r>
          </w:p>
        </w:tc>
      </w:tr>
    </w:tbl>
    <w:p w14:paraId="199DA5B6" w14:textId="77777777" w:rsidR="00EA42CB" w:rsidRDefault="00EA42CB" w:rsidP="00EA42CB">
      <w:pPr>
        <w:pStyle w:val="SemEspaamento"/>
      </w:pPr>
    </w:p>
    <w:p w14:paraId="4FEB01AC" w14:textId="77777777" w:rsidR="00451ED0" w:rsidRPr="00F45A06" w:rsidRDefault="00451ED0" w:rsidP="00EA42CB">
      <w:pPr>
        <w:pStyle w:val="SemEspaamento"/>
        <w:spacing w:before="120" w:after="120"/>
        <w:rPr>
          <w:b/>
          <w:sz w:val="24"/>
          <w:szCs w:val="24"/>
        </w:rPr>
      </w:pPr>
    </w:p>
    <w:p w14:paraId="05ABF310" w14:textId="77777777" w:rsidR="00F45A06" w:rsidRPr="00F45A06" w:rsidRDefault="000361CD" w:rsidP="00F45A06">
      <w:pPr>
        <w:pStyle w:val="Legenda"/>
        <w:rPr>
          <w:rFonts w:cs="Arial"/>
          <w:sz w:val="24"/>
          <w:szCs w:val="24"/>
        </w:rPr>
      </w:pPr>
      <w:bookmarkStart w:id="1" w:name="_Toc1995594"/>
      <w:r w:rsidRPr="00F45A06">
        <w:rPr>
          <w:sz w:val="24"/>
          <w:szCs w:val="24"/>
        </w:rPr>
        <w:t xml:space="preserve">Gráfico </w:t>
      </w:r>
      <w:r w:rsidRPr="00F45A06">
        <w:rPr>
          <w:sz w:val="24"/>
          <w:szCs w:val="24"/>
        </w:rPr>
        <w:fldChar w:fldCharType="begin"/>
      </w:r>
      <w:r w:rsidRPr="00F45A06">
        <w:rPr>
          <w:sz w:val="24"/>
          <w:szCs w:val="24"/>
        </w:rPr>
        <w:instrText xml:space="preserve"> SEQ Gráfico \* ARABIC </w:instrText>
      </w:r>
      <w:r w:rsidRPr="00F45A06">
        <w:rPr>
          <w:sz w:val="24"/>
          <w:szCs w:val="24"/>
        </w:rPr>
        <w:fldChar w:fldCharType="separate"/>
      </w:r>
      <w:r w:rsidRPr="00F45A06">
        <w:rPr>
          <w:noProof/>
          <w:sz w:val="24"/>
          <w:szCs w:val="24"/>
        </w:rPr>
        <w:t>1</w:t>
      </w:r>
      <w:r w:rsidRPr="00F45A06">
        <w:rPr>
          <w:noProof/>
          <w:sz w:val="24"/>
          <w:szCs w:val="24"/>
        </w:rPr>
        <w:fldChar w:fldCharType="end"/>
      </w:r>
      <w:r w:rsidRPr="00F45A06">
        <w:rPr>
          <w:rFonts w:cs="Arial"/>
          <w:sz w:val="24"/>
          <w:szCs w:val="24"/>
        </w:rPr>
        <w:t xml:space="preserve"> </w:t>
      </w:r>
      <w:r w:rsidRPr="00F45A06">
        <w:rPr>
          <w:rFonts w:cs="Arial"/>
          <w:b w:val="0"/>
          <w:sz w:val="24"/>
          <w:szCs w:val="24"/>
        </w:rPr>
        <w:t xml:space="preserve">- </w:t>
      </w:r>
      <w:r w:rsidRPr="00F45A06">
        <w:rPr>
          <w:rFonts w:cs="Arial"/>
          <w:bCs/>
          <w:sz w:val="24"/>
          <w:szCs w:val="24"/>
        </w:rPr>
        <w:t xml:space="preserve">Variações Homólogas do índice de volume de </w:t>
      </w:r>
      <w:r w:rsidR="00884225" w:rsidRPr="00F45A06">
        <w:rPr>
          <w:rFonts w:cs="Arial"/>
          <w:bCs/>
          <w:sz w:val="24"/>
          <w:szCs w:val="24"/>
        </w:rPr>
        <w:t>negócios</w:t>
      </w:r>
      <w:r w:rsidR="00884225">
        <w:rPr>
          <w:rFonts w:cs="Arial"/>
          <w:bCs/>
          <w:sz w:val="24"/>
          <w:szCs w:val="24"/>
        </w:rPr>
        <w:t>, empregos a tempo (</w:t>
      </w:r>
      <w:r w:rsidR="00884225" w:rsidRPr="00AD7513">
        <w:rPr>
          <w:rFonts w:cs="Arial"/>
          <w:color w:val="000000" w:themeColor="text1"/>
          <w:sz w:val="22"/>
        </w:rPr>
        <w:t>integral e parcial</w:t>
      </w:r>
      <w:r w:rsidR="00884225">
        <w:rPr>
          <w:rFonts w:cs="Arial"/>
          <w:color w:val="000000" w:themeColor="text1"/>
          <w:sz w:val="22"/>
        </w:rPr>
        <w:t>) e remunerações</w:t>
      </w:r>
      <w:r w:rsidR="001F2C61">
        <w:rPr>
          <w:rFonts w:cs="Arial"/>
          <w:bCs/>
          <w:sz w:val="24"/>
          <w:szCs w:val="24"/>
        </w:rPr>
        <w:t>,</w:t>
      </w:r>
      <w:r w:rsidRPr="00F45A06">
        <w:rPr>
          <w:rFonts w:cs="Arial"/>
          <w:bCs/>
          <w:sz w:val="24"/>
          <w:szCs w:val="24"/>
        </w:rPr>
        <w:t xml:space="preserve"> total e por secção, %</w:t>
      </w:r>
      <w:bookmarkEnd w:id="1"/>
      <w:r w:rsidRPr="00F45A06">
        <w:rPr>
          <w:rFonts w:cs="Arial"/>
          <w:sz w:val="24"/>
          <w:szCs w:val="24"/>
        </w:rPr>
        <w:t xml:space="preserve"> </w:t>
      </w:r>
    </w:p>
    <w:p w14:paraId="30985C8B" w14:textId="77777777" w:rsidR="00E14030" w:rsidRDefault="00E14030" w:rsidP="00EA42CB">
      <w:pPr>
        <w:pStyle w:val="SemEspaamento"/>
        <w:spacing w:before="120" w:after="120"/>
        <w:rPr>
          <w:b/>
        </w:rPr>
      </w:pPr>
    </w:p>
    <w:p w14:paraId="60230F05" w14:textId="77777777" w:rsidR="00115EEB" w:rsidRDefault="000361CD" w:rsidP="00EA42CB">
      <w:pPr>
        <w:pStyle w:val="SemEspaamento"/>
        <w:spacing w:before="120" w:after="120"/>
        <w:rPr>
          <w:b/>
        </w:rPr>
      </w:pPr>
      <w:r>
        <w:rPr>
          <w:b/>
        </w:rPr>
        <w:t xml:space="preserve">        </w:t>
      </w:r>
    </w:p>
    <w:p w14:paraId="3C041A71" w14:textId="77777777" w:rsidR="001A7D23" w:rsidRPr="001A7D23" w:rsidRDefault="001A7D23" w:rsidP="00235128">
      <w:pPr>
        <w:pStyle w:val="SemEspaamento"/>
        <w:sectPr w:rsidR="001A7D23" w:rsidRPr="001A7D23" w:rsidSect="00620C4E">
          <w:headerReference w:type="default" r:id="rId11"/>
          <w:pgSz w:w="11906" w:h="16838"/>
          <w:pgMar w:top="1953" w:right="991" w:bottom="1417" w:left="1276" w:header="567" w:footer="708" w:gutter="0"/>
          <w:cols w:space="708"/>
          <w:docGrid w:linePitch="360"/>
        </w:sectPr>
      </w:pPr>
    </w:p>
    <w:p w14:paraId="047742E9" w14:textId="77777777" w:rsidR="00A81F86" w:rsidRPr="001F2C61" w:rsidRDefault="000361CD" w:rsidP="003335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</w:p>
    <w:p w14:paraId="6E4EA0A9" w14:textId="77777777" w:rsidR="00B20162" w:rsidRPr="001E47A7" w:rsidRDefault="000361CD" w:rsidP="00A478F0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"/>
          <w:color w:val="FF0000"/>
          <w:sz w:val="22"/>
        </w:rPr>
        <w:sectPr w:rsidR="00B20162" w:rsidRPr="001E47A7" w:rsidSect="001F2C61">
          <w:headerReference w:type="default" r:id="rId12"/>
          <w:footerReference w:type="default" r:id="rId13"/>
          <w:type w:val="continuous"/>
          <w:pgSz w:w="11906" w:h="16838"/>
          <w:pgMar w:top="1953" w:right="991" w:bottom="1417" w:left="1276" w:header="567" w:footer="708" w:gutter="0"/>
          <w:cols w:space="340"/>
          <w:docGrid w:linePitch="360"/>
        </w:sectPr>
      </w:pPr>
      <w:r>
        <w:rPr>
          <w:rFonts w:cs="Arial"/>
          <w:color w:val="FF0000"/>
          <w:sz w:val="22"/>
        </w:rPr>
        <w:t xml:space="preserve">   </w:t>
      </w:r>
      <w:r w:rsidR="009A70DF">
        <w:rPr>
          <w:rFonts w:cs="Arial"/>
          <w:color w:val="FF0000"/>
          <w:sz w:val="22"/>
        </w:rPr>
        <w:t xml:space="preserve">     </w:t>
      </w:r>
    </w:p>
    <w:p w14:paraId="59766030" w14:textId="77777777" w:rsidR="009A70DF" w:rsidRDefault="009A70DF" w:rsidP="00D764CA">
      <w:pPr>
        <w:autoSpaceDE w:val="0"/>
        <w:autoSpaceDN w:val="0"/>
        <w:adjustRightInd w:val="0"/>
        <w:spacing w:before="480" w:after="0" w:line="240" w:lineRule="auto"/>
        <w:rPr>
          <w:rFonts w:cs="Arial"/>
          <w:b/>
          <w:color w:val="000000" w:themeColor="text1"/>
          <w:sz w:val="22"/>
        </w:rPr>
      </w:pPr>
    </w:p>
    <w:p w14:paraId="2D5507C0" w14:textId="77777777" w:rsidR="008840B5" w:rsidRPr="00884225" w:rsidRDefault="000361CD" w:rsidP="00D764CA">
      <w:pPr>
        <w:autoSpaceDE w:val="0"/>
        <w:autoSpaceDN w:val="0"/>
        <w:adjustRightInd w:val="0"/>
        <w:spacing w:before="480" w:after="0" w:line="240" w:lineRule="auto"/>
        <w:rPr>
          <w:rFonts w:cs="Arial"/>
          <w:b/>
          <w:color w:val="000000" w:themeColor="text1"/>
          <w:sz w:val="28"/>
          <w:szCs w:val="28"/>
        </w:rPr>
      </w:pPr>
      <w:r w:rsidRPr="00884225">
        <w:rPr>
          <w:rFonts w:cs="Arial"/>
          <w:b/>
          <w:color w:val="000000" w:themeColor="text1"/>
          <w:sz w:val="28"/>
          <w:szCs w:val="28"/>
        </w:rPr>
        <w:t>Principais Resultados</w:t>
      </w:r>
    </w:p>
    <w:p w14:paraId="32172352" w14:textId="77777777" w:rsidR="00884225" w:rsidRDefault="000361CD" w:rsidP="00E065BE">
      <w:pPr>
        <w:pStyle w:val="SemEspaamento"/>
        <w:spacing w:before="240" w:after="240" w:line="360" w:lineRule="auto"/>
        <w:jc w:val="both"/>
        <w:rPr>
          <w:b/>
        </w:rPr>
      </w:pPr>
      <w:r>
        <w:rPr>
          <w:b/>
        </w:rPr>
        <w:t>Volume de Negócios</w:t>
      </w:r>
    </w:p>
    <w:p w14:paraId="3CB2E113" w14:textId="77777777" w:rsidR="00333581" w:rsidRDefault="000361CD" w:rsidP="00017128">
      <w:pPr>
        <w:tabs>
          <w:tab w:val="left" w:pos="8170"/>
        </w:tabs>
        <w:spacing w:after="240" w:line="360" w:lineRule="auto"/>
        <w:jc w:val="both"/>
        <w:rPr>
          <w:sz w:val="22"/>
        </w:rPr>
      </w:pPr>
      <w:r w:rsidRPr="000452B6">
        <w:rPr>
          <w:sz w:val="22"/>
        </w:rPr>
        <w:t xml:space="preserve">O índice de volume de </w:t>
      </w:r>
      <w:r w:rsidRPr="000452B6">
        <w:rPr>
          <w:sz w:val="22"/>
        </w:rPr>
        <w:t>negócios registou no terceiro trimestre de 2020, uma variação homóloga de -41,9%, resultado superior em 8,5 pontos percentuais (p.p) ao observado no trimestre anterio</w:t>
      </w:r>
      <w:r>
        <w:rPr>
          <w:sz w:val="22"/>
        </w:rPr>
        <w:t>r.</w:t>
      </w:r>
    </w:p>
    <w:p w14:paraId="3571590A" w14:textId="77777777" w:rsidR="00333581" w:rsidRDefault="000361CD" w:rsidP="00333581">
      <w:pPr>
        <w:pStyle w:val="SemEspaamento"/>
        <w:spacing w:before="240" w:after="240" w:line="276" w:lineRule="auto"/>
        <w:jc w:val="both"/>
        <w:rPr>
          <w:rFonts w:cs="Arial"/>
        </w:rPr>
      </w:pPr>
      <w:r w:rsidRPr="00F13518">
        <w:rPr>
          <w:rFonts w:cs="Arial"/>
        </w:rPr>
        <w:t>O índice de volume de ne</w:t>
      </w:r>
      <w:r>
        <w:rPr>
          <w:rFonts w:cs="Arial"/>
        </w:rPr>
        <w:t xml:space="preserve">gócios nos serviços em termos trimestral aumentou </w:t>
      </w:r>
      <w:r w:rsidRPr="00F13518">
        <w:rPr>
          <w:rFonts w:cs="Arial"/>
        </w:rPr>
        <w:t>26</w:t>
      </w:r>
      <w:r>
        <w:rPr>
          <w:rFonts w:cs="Arial"/>
        </w:rPr>
        <w:t>,1</w:t>
      </w:r>
      <w:r w:rsidRPr="006E5D1F">
        <w:rPr>
          <w:rFonts w:cs="Arial"/>
        </w:rPr>
        <w:t xml:space="preserve">%. </w:t>
      </w:r>
    </w:p>
    <w:p w14:paraId="5871A4E1" w14:textId="77777777" w:rsidR="00E065BE" w:rsidRPr="00017128" w:rsidRDefault="000361CD" w:rsidP="00017128">
      <w:pPr>
        <w:tabs>
          <w:tab w:val="left" w:pos="8170"/>
        </w:tabs>
        <w:spacing w:after="240" w:line="360" w:lineRule="auto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lastRenderedPageBreak/>
        <w:t>As se</w:t>
      </w:r>
      <w:r>
        <w:rPr>
          <w:rFonts w:cs="Arial"/>
          <w:sz w:val="22"/>
          <w:szCs w:val="24"/>
        </w:rPr>
        <w:t xml:space="preserve">cções de </w:t>
      </w:r>
      <w:r>
        <w:rPr>
          <w:rFonts w:cs="Arial"/>
          <w:sz w:val="22"/>
        </w:rPr>
        <w:t>comércio por grosso e a retalho; reparação de veículos automóveis e motociclos</w:t>
      </w:r>
      <w:r w:rsidR="000E3308" w:rsidRPr="002559DF">
        <w:rPr>
          <w:rFonts w:cs="Arial"/>
          <w:sz w:val="22"/>
          <w:szCs w:val="24"/>
        </w:rPr>
        <w:t xml:space="preserve">, </w:t>
      </w:r>
      <w:r w:rsidR="000E3308">
        <w:rPr>
          <w:rFonts w:cs="Arial"/>
          <w:sz w:val="22"/>
        </w:rPr>
        <w:t xml:space="preserve">transportes e </w:t>
      </w:r>
      <w:r w:rsidR="007E5268">
        <w:rPr>
          <w:rFonts w:cs="Arial"/>
          <w:sz w:val="22"/>
        </w:rPr>
        <w:t>armazenagem e</w:t>
      </w:r>
      <w:r w:rsidR="007D7C64">
        <w:rPr>
          <w:rFonts w:cs="Arial"/>
          <w:sz w:val="22"/>
        </w:rPr>
        <w:t xml:space="preserve"> de </w:t>
      </w:r>
      <w:r w:rsidR="007E5268">
        <w:rPr>
          <w:rFonts w:cs="Arial"/>
          <w:sz w:val="22"/>
        </w:rPr>
        <w:t xml:space="preserve">alojamento e restauração </w:t>
      </w:r>
      <w:r w:rsidR="000E3308">
        <w:rPr>
          <w:rFonts w:cs="Arial"/>
          <w:sz w:val="22"/>
        </w:rPr>
        <w:t>apresentaram</w:t>
      </w:r>
      <w:r w:rsidR="000E3308" w:rsidRPr="002559DF">
        <w:rPr>
          <w:rFonts w:cs="Arial"/>
          <w:sz w:val="22"/>
          <w:szCs w:val="24"/>
        </w:rPr>
        <w:t xml:space="preserve"> contributos mais relevantes para a variação do índice agregado (</w:t>
      </w:r>
      <w:r w:rsidR="000E3308">
        <w:rPr>
          <w:rFonts w:cs="Arial"/>
          <w:sz w:val="22"/>
          <w:szCs w:val="24"/>
        </w:rPr>
        <w:t>-</w:t>
      </w:r>
      <w:r w:rsidR="008E60A9">
        <w:rPr>
          <w:rFonts w:cs="Arial"/>
          <w:sz w:val="22"/>
          <w:szCs w:val="24"/>
        </w:rPr>
        <w:t xml:space="preserve"> </w:t>
      </w:r>
      <w:r w:rsidR="00CC621A">
        <w:rPr>
          <w:rFonts w:cs="Arial"/>
          <w:sz w:val="22"/>
          <w:szCs w:val="24"/>
        </w:rPr>
        <w:t>15</w:t>
      </w:r>
      <w:r w:rsidR="000E3308">
        <w:rPr>
          <w:rFonts w:cs="Arial"/>
          <w:sz w:val="22"/>
          <w:szCs w:val="24"/>
        </w:rPr>
        <w:t>,</w:t>
      </w:r>
      <w:r w:rsidR="00CC621A">
        <w:rPr>
          <w:rFonts w:cs="Arial"/>
          <w:sz w:val="22"/>
          <w:szCs w:val="24"/>
        </w:rPr>
        <w:t>6,</w:t>
      </w:r>
      <w:r w:rsidR="008E60A9">
        <w:rPr>
          <w:rFonts w:cs="Arial"/>
          <w:sz w:val="22"/>
          <w:szCs w:val="24"/>
        </w:rPr>
        <w:t xml:space="preserve"> </w:t>
      </w:r>
      <w:r w:rsidR="000E3308">
        <w:rPr>
          <w:rFonts w:cs="Arial"/>
          <w:sz w:val="22"/>
          <w:szCs w:val="24"/>
        </w:rPr>
        <w:t>-</w:t>
      </w:r>
      <w:r w:rsidR="008E60A9">
        <w:rPr>
          <w:rFonts w:cs="Arial"/>
          <w:sz w:val="22"/>
          <w:szCs w:val="24"/>
        </w:rPr>
        <w:t xml:space="preserve"> </w:t>
      </w:r>
      <w:r w:rsidR="00CC621A">
        <w:rPr>
          <w:rFonts w:cs="Arial"/>
          <w:sz w:val="22"/>
          <w:szCs w:val="24"/>
        </w:rPr>
        <w:t>7,2</w:t>
      </w:r>
      <w:r w:rsidR="000E3308">
        <w:rPr>
          <w:rFonts w:cs="Arial"/>
          <w:sz w:val="22"/>
          <w:szCs w:val="24"/>
        </w:rPr>
        <w:t xml:space="preserve"> e</w:t>
      </w:r>
      <w:r w:rsidR="000E3308" w:rsidRPr="006E5D1F">
        <w:rPr>
          <w:rFonts w:cs="Arial"/>
          <w:sz w:val="22"/>
          <w:szCs w:val="24"/>
        </w:rPr>
        <w:t xml:space="preserve"> </w:t>
      </w:r>
      <w:r w:rsidR="000E3308">
        <w:rPr>
          <w:rFonts w:cs="Arial"/>
          <w:sz w:val="22"/>
          <w:szCs w:val="24"/>
        </w:rPr>
        <w:t>-15,</w:t>
      </w:r>
      <w:r w:rsidR="00CC621A">
        <w:rPr>
          <w:rFonts w:cs="Arial"/>
          <w:sz w:val="22"/>
          <w:szCs w:val="24"/>
        </w:rPr>
        <w:t>9</w:t>
      </w:r>
      <w:r w:rsidR="000E3308">
        <w:rPr>
          <w:rFonts w:cs="Arial"/>
          <w:sz w:val="22"/>
          <w:szCs w:val="24"/>
        </w:rPr>
        <w:t xml:space="preserve"> </w:t>
      </w:r>
      <w:r w:rsidR="000E3308" w:rsidRPr="002559DF">
        <w:rPr>
          <w:rFonts w:cs="Arial"/>
          <w:sz w:val="22"/>
          <w:szCs w:val="24"/>
        </w:rPr>
        <w:t xml:space="preserve">pontos percentuais), em resultado de </w:t>
      </w:r>
      <w:r w:rsidR="000E3308">
        <w:rPr>
          <w:rFonts w:cs="Arial"/>
          <w:sz w:val="22"/>
          <w:szCs w:val="24"/>
        </w:rPr>
        <w:t xml:space="preserve">diminuições de </w:t>
      </w:r>
      <w:r w:rsidR="00CC621A">
        <w:rPr>
          <w:rFonts w:cs="Arial"/>
          <w:sz w:val="22"/>
          <w:szCs w:val="24"/>
        </w:rPr>
        <w:t>25,9</w:t>
      </w:r>
      <w:r w:rsidR="007A77C1" w:rsidRPr="006E5D1F">
        <w:rPr>
          <w:rFonts w:cs="Arial"/>
          <w:sz w:val="22"/>
          <w:szCs w:val="24"/>
        </w:rPr>
        <w:t>%</w:t>
      </w:r>
      <w:r w:rsidR="007A77C1">
        <w:rPr>
          <w:rFonts w:cs="Arial"/>
          <w:sz w:val="22"/>
          <w:szCs w:val="24"/>
        </w:rPr>
        <w:t>,</w:t>
      </w:r>
      <w:r w:rsidR="000E3308">
        <w:rPr>
          <w:rFonts w:cs="Arial"/>
          <w:sz w:val="22"/>
          <w:szCs w:val="24"/>
        </w:rPr>
        <w:t xml:space="preserve"> </w:t>
      </w:r>
      <w:r w:rsidR="008E60A9">
        <w:rPr>
          <w:rFonts w:cs="Arial"/>
          <w:sz w:val="22"/>
          <w:szCs w:val="24"/>
        </w:rPr>
        <w:t>6</w:t>
      </w:r>
      <w:r w:rsidR="00CC621A">
        <w:rPr>
          <w:rFonts w:cs="Arial"/>
          <w:sz w:val="22"/>
          <w:szCs w:val="24"/>
        </w:rPr>
        <w:t>4</w:t>
      </w:r>
      <w:r w:rsidR="000E3308">
        <w:rPr>
          <w:rFonts w:cs="Arial"/>
          <w:sz w:val="22"/>
          <w:szCs w:val="24"/>
        </w:rPr>
        <w:t>,</w:t>
      </w:r>
      <w:r w:rsidR="00CC621A">
        <w:rPr>
          <w:rFonts w:cs="Arial"/>
          <w:sz w:val="22"/>
          <w:szCs w:val="24"/>
        </w:rPr>
        <w:t>7</w:t>
      </w:r>
      <w:r w:rsidR="000E3308">
        <w:rPr>
          <w:rFonts w:cs="Arial"/>
          <w:sz w:val="22"/>
          <w:szCs w:val="24"/>
        </w:rPr>
        <w:t xml:space="preserve">% e </w:t>
      </w:r>
      <w:r w:rsidR="00CC621A">
        <w:rPr>
          <w:rFonts w:cs="Arial"/>
          <w:sz w:val="22"/>
          <w:szCs w:val="24"/>
        </w:rPr>
        <w:t>92</w:t>
      </w:r>
      <w:r w:rsidR="007C0AB4">
        <w:rPr>
          <w:rFonts w:cs="Arial"/>
          <w:sz w:val="22"/>
          <w:szCs w:val="24"/>
        </w:rPr>
        <w:t>,</w:t>
      </w:r>
      <w:r w:rsidR="00CC621A">
        <w:rPr>
          <w:rFonts w:cs="Arial"/>
          <w:sz w:val="22"/>
          <w:szCs w:val="24"/>
        </w:rPr>
        <w:t>7</w:t>
      </w:r>
      <w:r w:rsidR="000E3308" w:rsidRPr="006E5D1F">
        <w:rPr>
          <w:rFonts w:cs="Arial"/>
          <w:sz w:val="22"/>
          <w:szCs w:val="24"/>
        </w:rPr>
        <w:t xml:space="preserve">% </w:t>
      </w:r>
      <w:r w:rsidR="000E3308" w:rsidRPr="002559DF">
        <w:rPr>
          <w:rFonts w:cs="Arial"/>
          <w:sz w:val="22"/>
          <w:szCs w:val="24"/>
        </w:rPr>
        <w:t>resp</w:t>
      </w:r>
      <w:r w:rsidR="000E3308">
        <w:rPr>
          <w:rFonts w:cs="Arial"/>
          <w:sz w:val="22"/>
          <w:szCs w:val="24"/>
        </w:rPr>
        <w:t xml:space="preserve">etivamente. </w:t>
      </w:r>
      <w:r w:rsidR="000E3308" w:rsidRPr="00017128">
        <w:rPr>
          <w:rFonts w:cs="Arial"/>
          <w:sz w:val="22"/>
          <w:szCs w:val="24"/>
        </w:rPr>
        <w:t xml:space="preserve">As restantes secções apresentam uma contribuição </w:t>
      </w:r>
      <w:r w:rsidR="00CC621A" w:rsidRPr="006E5D1F">
        <w:rPr>
          <w:rFonts w:cs="Arial"/>
          <w:sz w:val="22"/>
          <w:szCs w:val="24"/>
        </w:rPr>
        <w:t>de</w:t>
      </w:r>
      <w:r w:rsidR="00ED784B">
        <w:rPr>
          <w:rFonts w:cs="Arial"/>
          <w:sz w:val="22"/>
          <w:szCs w:val="24"/>
        </w:rPr>
        <w:t xml:space="preserve"> - </w:t>
      </w:r>
      <w:r w:rsidR="00CC621A">
        <w:rPr>
          <w:rFonts w:cs="Arial"/>
          <w:sz w:val="22"/>
          <w:szCs w:val="24"/>
        </w:rPr>
        <w:t>3,3</w:t>
      </w:r>
      <w:r w:rsidR="000E3308">
        <w:rPr>
          <w:rFonts w:cs="Arial"/>
          <w:sz w:val="22"/>
          <w:szCs w:val="24"/>
        </w:rPr>
        <w:t xml:space="preserve"> </w:t>
      </w:r>
      <w:r w:rsidR="000E3308" w:rsidRPr="00017128">
        <w:rPr>
          <w:rFonts w:cs="Arial"/>
          <w:sz w:val="22"/>
          <w:szCs w:val="24"/>
        </w:rPr>
        <w:t>pontos percentuais para a variação do índice.</w:t>
      </w:r>
    </w:p>
    <w:p w14:paraId="1ACF3A2F" w14:textId="77777777" w:rsidR="00884225" w:rsidRDefault="000361CD" w:rsidP="00E065BE">
      <w:pPr>
        <w:pStyle w:val="SemEspaamento"/>
        <w:spacing w:before="240" w:after="240"/>
        <w:jc w:val="both"/>
        <w:rPr>
          <w:b/>
        </w:rPr>
      </w:pPr>
      <w:r w:rsidRPr="00680081">
        <w:rPr>
          <w:b/>
        </w:rPr>
        <w:t xml:space="preserve">Emprego </w:t>
      </w:r>
    </w:p>
    <w:p w14:paraId="1AF7ECE0" w14:textId="77777777" w:rsidR="00884225" w:rsidRDefault="000361CD" w:rsidP="00E065BE">
      <w:pPr>
        <w:pStyle w:val="SemEspaamento"/>
        <w:spacing w:before="240" w:after="240" w:line="360" w:lineRule="auto"/>
        <w:jc w:val="both"/>
        <w:rPr>
          <w:rFonts w:cs="Arial"/>
        </w:rPr>
      </w:pPr>
      <w:r w:rsidRPr="00F13518">
        <w:rPr>
          <w:rFonts w:cs="Arial"/>
        </w:rPr>
        <w:t>O</w:t>
      </w:r>
      <w:r>
        <w:rPr>
          <w:rFonts w:cs="Arial"/>
        </w:rPr>
        <w:t>s</w:t>
      </w:r>
      <w:r w:rsidRPr="00F13518">
        <w:rPr>
          <w:rFonts w:cs="Arial"/>
        </w:rPr>
        <w:t xml:space="preserve"> índice</w:t>
      </w:r>
      <w:r>
        <w:rPr>
          <w:rFonts w:cs="Arial"/>
        </w:rPr>
        <w:t>s</w:t>
      </w:r>
      <w:r w:rsidRPr="00F13518">
        <w:rPr>
          <w:rFonts w:cs="Arial"/>
        </w:rPr>
        <w:t xml:space="preserve"> de emprego nos serviços </w:t>
      </w:r>
      <w:r>
        <w:rPr>
          <w:rFonts w:cs="Arial"/>
        </w:rPr>
        <w:t>a tempo integral (</w:t>
      </w:r>
      <w:r w:rsidRPr="00F56405">
        <w:rPr>
          <w:rFonts w:cs="Arial"/>
        </w:rPr>
        <w:t>NPSR_I</w:t>
      </w:r>
      <w:r>
        <w:rPr>
          <w:rFonts w:cs="Arial"/>
        </w:rPr>
        <w:t>) e total (</w:t>
      </w:r>
      <w:r w:rsidRPr="00F56405">
        <w:rPr>
          <w:rFonts w:cs="Arial"/>
        </w:rPr>
        <w:t>NPSR_IP</w:t>
      </w:r>
      <w:r>
        <w:rPr>
          <w:rFonts w:cs="Arial"/>
        </w:rPr>
        <w:t xml:space="preserve">) </w:t>
      </w:r>
      <w:r w:rsidRPr="00F13518">
        <w:rPr>
          <w:rFonts w:cs="Arial"/>
        </w:rPr>
        <w:t>apresent</w:t>
      </w:r>
      <w:r>
        <w:rPr>
          <w:rFonts w:cs="Arial"/>
        </w:rPr>
        <w:t>aram</w:t>
      </w:r>
      <w:r w:rsidRPr="00F13518">
        <w:rPr>
          <w:rFonts w:cs="Arial"/>
        </w:rPr>
        <w:t>, no</w:t>
      </w:r>
      <w:r w:rsidR="00EE6816">
        <w:rPr>
          <w:rFonts w:cs="Arial"/>
        </w:rPr>
        <w:t xml:space="preserve"> </w:t>
      </w:r>
      <w:r w:rsidR="00CC621A">
        <w:rPr>
          <w:rFonts w:cs="Arial"/>
        </w:rPr>
        <w:t>terceiro</w:t>
      </w:r>
      <w:r>
        <w:rPr>
          <w:rFonts w:cs="Arial"/>
        </w:rPr>
        <w:t xml:space="preserve"> </w:t>
      </w:r>
      <w:r w:rsidRPr="00EE2ACC">
        <w:rPr>
          <w:rFonts w:cs="Arial"/>
        </w:rPr>
        <w:t>trimestre, um</w:t>
      </w:r>
      <w:r>
        <w:rPr>
          <w:rFonts w:cs="Arial"/>
        </w:rPr>
        <w:t>a</w:t>
      </w:r>
      <w:r w:rsidRPr="00EE2ACC">
        <w:rPr>
          <w:rFonts w:cs="Arial"/>
        </w:rPr>
        <w:t xml:space="preserve"> </w:t>
      </w:r>
      <w:r>
        <w:rPr>
          <w:rFonts w:cs="Arial"/>
        </w:rPr>
        <w:t xml:space="preserve">variação </w:t>
      </w:r>
      <w:r w:rsidRPr="00EE2ACC">
        <w:rPr>
          <w:rFonts w:cs="Arial"/>
        </w:rPr>
        <w:t xml:space="preserve">homóloga de </w:t>
      </w:r>
      <w:r w:rsidR="007A77C1" w:rsidRPr="007A77C1">
        <w:rPr>
          <w:rFonts w:cs="Arial"/>
        </w:rPr>
        <w:t>-</w:t>
      </w:r>
      <w:r w:rsidR="005C0777">
        <w:rPr>
          <w:rFonts w:cs="Arial"/>
        </w:rPr>
        <w:t xml:space="preserve"> </w:t>
      </w:r>
      <w:r w:rsidR="00CC621A">
        <w:rPr>
          <w:rFonts w:cs="Arial"/>
        </w:rPr>
        <w:t>17</w:t>
      </w:r>
      <w:r w:rsidR="007A77C1" w:rsidRPr="007A77C1">
        <w:rPr>
          <w:rFonts w:cs="Arial"/>
        </w:rPr>
        <w:t>,</w:t>
      </w:r>
      <w:r w:rsidR="00CC621A">
        <w:rPr>
          <w:rFonts w:cs="Arial"/>
        </w:rPr>
        <w:t>3</w:t>
      </w:r>
      <w:r w:rsidRPr="007A77C1">
        <w:rPr>
          <w:rFonts w:cs="Arial"/>
        </w:rPr>
        <w:t xml:space="preserve">% e </w:t>
      </w:r>
      <w:r w:rsidR="007A77C1" w:rsidRPr="007A77C1">
        <w:rPr>
          <w:rFonts w:cs="Arial"/>
        </w:rPr>
        <w:t>-</w:t>
      </w:r>
      <w:r w:rsidR="005C0777">
        <w:rPr>
          <w:rFonts w:cs="Arial"/>
        </w:rPr>
        <w:t xml:space="preserve"> </w:t>
      </w:r>
      <w:r w:rsidR="00CC621A">
        <w:rPr>
          <w:rFonts w:cs="Arial"/>
        </w:rPr>
        <w:t>16</w:t>
      </w:r>
      <w:r w:rsidR="007A77C1" w:rsidRPr="007A77C1">
        <w:rPr>
          <w:rFonts w:cs="Arial"/>
        </w:rPr>
        <w:t>,</w:t>
      </w:r>
      <w:r w:rsidR="005B0511">
        <w:rPr>
          <w:rFonts w:cs="Arial"/>
        </w:rPr>
        <w:t>9</w:t>
      </w:r>
      <w:r w:rsidRPr="007A77C1">
        <w:rPr>
          <w:rFonts w:cs="Arial"/>
        </w:rPr>
        <w:t xml:space="preserve">%, </w:t>
      </w:r>
      <w:r w:rsidRPr="00EE2ACC">
        <w:rPr>
          <w:rFonts w:cs="Arial"/>
        </w:rPr>
        <w:t xml:space="preserve">respetivamente. </w:t>
      </w:r>
    </w:p>
    <w:p w14:paraId="34471203" w14:textId="77777777" w:rsidR="00884225" w:rsidRPr="001B6762" w:rsidRDefault="000361CD" w:rsidP="00E065BE">
      <w:pPr>
        <w:pStyle w:val="SemEspaamento"/>
        <w:spacing w:before="240" w:after="240"/>
        <w:jc w:val="both"/>
        <w:rPr>
          <w:b/>
        </w:rPr>
      </w:pPr>
      <w:r w:rsidRPr="001B6762">
        <w:rPr>
          <w:b/>
        </w:rPr>
        <w:t>Remunerações</w:t>
      </w:r>
    </w:p>
    <w:p w14:paraId="258ABF41" w14:textId="77777777" w:rsidR="000B5098" w:rsidRPr="00A05FEC" w:rsidRDefault="000361CD" w:rsidP="00E065BE">
      <w:pPr>
        <w:pStyle w:val="SemEspaamento"/>
        <w:spacing w:before="240" w:after="120" w:line="276" w:lineRule="auto"/>
        <w:jc w:val="both"/>
        <w:rPr>
          <w:rFonts w:cs="Arial"/>
        </w:rPr>
      </w:pPr>
      <w:r w:rsidRPr="00F56405">
        <w:rPr>
          <w:rFonts w:cs="Arial"/>
        </w:rPr>
        <w:t xml:space="preserve">O índice de </w:t>
      </w:r>
      <w:r w:rsidRPr="007A0327">
        <w:rPr>
          <w:rFonts w:cs="Arial"/>
        </w:rPr>
        <w:t>remunerações</w:t>
      </w:r>
      <w:r w:rsidRPr="00F56405">
        <w:rPr>
          <w:rFonts w:cs="Arial"/>
        </w:rPr>
        <w:t xml:space="preserve"> brutas</w:t>
      </w:r>
      <w:r w:rsidR="00242998">
        <w:rPr>
          <w:rFonts w:cs="Arial"/>
        </w:rPr>
        <w:t xml:space="preserve"> </w:t>
      </w:r>
      <w:r w:rsidR="007A77C1">
        <w:rPr>
          <w:rFonts w:cs="Arial"/>
        </w:rPr>
        <w:t>registou uma diminuição de 2</w:t>
      </w:r>
      <w:r w:rsidR="005B0511">
        <w:rPr>
          <w:rFonts w:cs="Arial"/>
        </w:rPr>
        <w:t>5</w:t>
      </w:r>
      <w:r w:rsidR="007A77C1">
        <w:rPr>
          <w:rFonts w:cs="Arial"/>
        </w:rPr>
        <w:t>,</w:t>
      </w:r>
      <w:r w:rsidR="00CC621A">
        <w:rPr>
          <w:rFonts w:cs="Arial"/>
        </w:rPr>
        <w:t>8</w:t>
      </w:r>
      <w:r w:rsidRPr="007A77C1">
        <w:rPr>
          <w:rFonts w:cs="Arial"/>
        </w:rPr>
        <w:t>%</w:t>
      </w:r>
      <w:r w:rsidR="00A05FEC" w:rsidRPr="008A557B">
        <w:rPr>
          <w:rFonts w:cs="Arial"/>
          <w:color w:val="FF0000"/>
        </w:rPr>
        <w:t xml:space="preserve"> </w:t>
      </w:r>
      <w:r w:rsidR="00242998">
        <w:rPr>
          <w:rFonts w:cs="Arial"/>
        </w:rPr>
        <w:t xml:space="preserve">em termos homólogos </w:t>
      </w:r>
      <w:r w:rsidR="008B32E7">
        <w:rPr>
          <w:rFonts w:cs="Arial"/>
        </w:rPr>
        <w:t xml:space="preserve">e </w:t>
      </w:r>
      <w:r w:rsidR="00CC621A">
        <w:rPr>
          <w:rFonts w:cs="Arial"/>
        </w:rPr>
        <w:t>aumentou 0,9</w:t>
      </w:r>
      <w:r w:rsidR="00A05FEC" w:rsidRPr="007A77C1">
        <w:rPr>
          <w:rFonts w:cs="Arial"/>
        </w:rPr>
        <w:t xml:space="preserve"> </w:t>
      </w:r>
      <w:r w:rsidR="00E065BE" w:rsidRPr="007A77C1">
        <w:rPr>
          <w:rFonts w:cs="Arial"/>
        </w:rPr>
        <w:t xml:space="preserve">% </w:t>
      </w:r>
      <w:r w:rsidR="00A05FEC">
        <w:rPr>
          <w:rFonts w:cs="Arial"/>
        </w:rPr>
        <w:t>em termos trimestrais</w:t>
      </w:r>
      <w:r w:rsidR="00E065BE">
        <w:rPr>
          <w:rFonts w:cs="Arial"/>
        </w:rPr>
        <w:t>.</w:t>
      </w:r>
    </w:p>
    <w:p w14:paraId="56D7E300" w14:textId="77777777" w:rsidR="000B5098" w:rsidRDefault="000B5098" w:rsidP="00E065BE">
      <w:pPr>
        <w:autoSpaceDE w:val="0"/>
        <w:autoSpaceDN w:val="0"/>
        <w:adjustRightInd w:val="0"/>
        <w:spacing w:before="480" w:after="0" w:line="240" w:lineRule="auto"/>
        <w:jc w:val="both"/>
        <w:rPr>
          <w:rFonts w:cs="Arial"/>
          <w:b/>
          <w:color w:val="000000" w:themeColor="text1"/>
          <w:sz w:val="22"/>
        </w:rPr>
      </w:pPr>
    </w:p>
    <w:p w14:paraId="332C4E4B" w14:textId="77777777" w:rsidR="006602F3" w:rsidRDefault="006602F3" w:rsidP="00E065BE">
      <w:pPr>
        <w:autoSpaceDE w:val="0"/>
        <w:autoSpaceDN w:val="0"/>
        <w:adjustRightInd w:val="0"/>
        <w:spacing w:before="480" w:after="0" w:line="240" w:lineRule="auto"/>
        <w:jc w:val="both"/>
        <w:rPr>
          <w:rFonts w:cs="Arial"/>
          <w:b/>
          <w:color w:val="000000" w:themeColor="text1"/>
          <w:sz w:val="22"/>
        </w:rPr>
      </w:pPr>
    </w:p>
    <w:p w14:paraId="45C45E2D" w14:textId="77777777" w:rsidR="006602F3" w:rsidRDefault="006602F3" w:rsidP="00E065BE">
      <w:pPr>
        <w:autoSpaceDE w:val="0"/>
        <w:autoSpaceDN w:val="0"/>
        <w:adjustRightInd w:val="0"/>
        <w:spacing w:before="480" w:after="0" w:line="240" w:lineRule="auto"/>
        <w:jc w:val="both"/>
        <w:rPr>
          <w:rFonts w:cs="Arial"/>
          <w:b/>
          <w:color w:val="000000" w:themeColor="text1"/>
          <w:sz w:val="22"/>
        </w:rPr>
      </w:pPr>
    </w:p>
    <w:p w14:paraId="195DB067" w14:textId="77777777" w:rsidR="006602F3" w:rsidRDefault="006602F3" w:rsidP="00E065BE">
      <w:pPr>
        <w:autoSpaceDE w:val="0"/>
        <w:autoSpaceDN w:val="0"/>
        <w:adjustRightInd w:val="0"/>
        <w:spacing w:before="480" w:after="0" w:line="240" w:lineRule="auto"/>
        <w:jc w:val="both"/>
        <w:rPr>
          <w:rFonts w:cs="Arial"/>
          <w:b/>
          <w:color w:val="000000" w:themeColor="text1"/>
          <w:sz w:val="22"/>
        </w:rPr>
      </w:pPr>
    </w:p>
    <w:p w14:paraId="3A4520E8" w14:textId="77777777" w:rsidR="006602F3" w:rsidRDefault="006602F3" w:rsidP="00E065BE">
      <w:pPr>
        <w:autoSpaceDE w:val="0"/>
        <w:autoSpaceDN w:val="0"/>
        <w:adjustRightInd w:val="0"/>
        <w:spacing w:before="480" w:after="0" w:line="240" w:lineRule="auto"/>
        <w:jc w:val="both"/>
        <w:rPr>
          <w:rFonts w:cs="Arial"/>
          <w:b/>
          <w:color w:val="000000" w:themeColor="text1"/>
          <w:sz w:val="22"/>
        </w:rPr>
      </w:pPr>
    </w:p>
    <w:p w14:paraId="090C34AF" w14:textId="77777777" w:rsidR="00CF4E10" w:rsidRDefault="00CF4E10" w:rsidP="00E065BE">
      <w:pPr>
        <w:autoSpaceDE w:val="0"/>
        <w:autoSpaceDN w:val="0"/>
        <w:adjustRightInd w:val="0"/>
        <w:spacing w:before="480" w:after="0" w:line="240" w:lineRule="auto"/>
        <w:jc w:val="both"/>
        <w:rPr>
          <w:rFonts w:cs="Arial"/>
          <w:b/>
          <w:color w:val="000000" w:themeColor="text1"/>
          <w:sz w:val="22"/>
        </w:rPr>
      </w:pPr>
    </w:p>
    <w:p w14:paraId="344DCD3B" w14:textId="77777777" w:rsidR="006602F3" w:rsidRDefault="000361CD" w:rsidP="00E065BE">
      <w:pPr>
        <w:autoSpaceDE w:val="0"/>
        <w:autoSpaceDN w:val="0"/>
        <w:adjustRightInd w:val="0"/>
        <w:spacing w:before="480" w:after="0" w:line="240" w:lineRule="auto"/>
        <w:jc w:val="both"/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</w:rPr>
        <w:t xml:space="preserve">ALGUMAS </w:t>
      </w:r>
      <w:r w:rsidR="000D0058">
        <w:rPr>
          <w:rFonts w:cs="Arial"/>
          <w:b/>
          <w:color w:val="000000" w:themeColor="text1"/>
          <w:sz w:val="22"/>
        </w:rPr>
        <w:t>REFERÊNCIAS</w:t>
      </w:r>
      <w:r>
        <w:rPr>
          <w:rFonts w:cs="Arial"/>
          <w:b/>
          <w:color w:val="000000" w:themeColor="text1"/>
          <w:sz w:val="22"/>
        </w:rPr>
        <w:t xml:space="preserve"> METODOLOGICAS</w:t>
      </w:r>
    </w:p>
    <w:p w14:paraId="27C717FE" w14:textId="77777777" w:rsidR="006602F3" w:rsidRPr="004D088D" w:rsidRDefault="000361CD" w:rsidP="006602F3">
      <w:pPr>
        <w:pStyle w:val="Ttulo1"/>
      </w:pPr>
      <w:bookmarkStart w:id="2" w:name="_Toc514168909"/>
      <w:bookmarkStart w:id="3" w:name="_Toc514308658"/>
      <w:bookmarkStart w:id="4" w:name="_Toc533066857"/>
      <w:bookmarkStart w:id="5" w:name="_Toc1988995"/>
      <w:bookmarkStart w:id="6" w:name="_Toc1995837"/>
      <w:r>
        <w:t>NOTA INTRODUTÓRIA</w:t>
      </w:r>
      <w:bookmarkEnd w:id="2"/>
      <w:bookmarkEnd w:id="3"/>
      <w:bookmarkEnd w:id="4"/>
      <w:bookmarkEnd w:id="5"/>
      <w:bookmarkEnd w:id="6"/>
    </w:p>
    <w:p w14:paraId="1BF030A9" w14:textId="77777777" w:rsidR="006602F3" w:rsidRPr="00AB30B0" w:rsidRDefault="000361CD" w:rsidP="006602F3">
      <w:pPr>
        <w:tabs>
          <w:tab w:val="left" w:pos="8170"/>
        </w:tabs>
        <w:spacing w:line="360" w:lineRule="auto"/>
        <w:ind w:right="335"/>
        <w:jc w:val="both"/>
        <w:rPr>
          <w:rFonts w:cs="Arial"/>
          <w:sz w:val="22"/>
          <w:szCs w:val="24"/>
        </w:rPr>
      </w:pPr>
      <w:r w:rsidRPr="00AB30B0">
        <w:rPr>
          <w:rFonts w:cs="Arial"/>
          <w:sz w:val="22"/>
          <w:szCs w:val="24"/>
        </w:rPr>
        <w:t xml:space="preserve">Os Indicadores de Atividade do Sector Serviços </w:t>
      </w:r>
      <w:r w:rsidRPr="00F56405">
        <w:rPr>
          <w:rFonts w:cs="Arial"/>
          <w:sz w:val="22"/>
          <w:szCs w:val="24"/>
        </w:rPr>
        <w:t>(IASS) é um indicador que tem por finalidade proporcionar indicadores de e</w:t>
      </w:r>
      <w:r>
        <w:rPr>
          <w:rFonts w:cs="Arial"/>
          <w:sz w:val="22"/>
          <w:szCs w:val="24"/>
        </w:rPr>
        <w:t xml:space="preserve">volução a curto prazo em termos </w:t>
      </w:r>
      <w:r w:rsidRPr="00AB30B0">
        <w:rPr>
          <w:rFonts w:cs="Arial"/>
          <w:sz w:val="22"/>
          <w:szCs w:val="24"/>
        </w:rPr>
        <w:t xml:space="preserve">nominais, isto é, a preços correntes da </w:t>
      </w:r>
      <w:r w:rsidRPr="00374C4F">
        <w:rPr>
          <w:rFonts w:cs="Arial"/>
          <w:sz w:val="22"/>
          <w:szCs w:val="24"/>
        </w:rPr>
        <w:t>atividade</w:t>
      </w:r>
      <w:r w:rsidRPr="00AB30B0">
        <w:rPr>
          <w:rFonts w:cs="Arial"/>
          <w:sz w:val="22"/>
          <w:szCs w:val="24"/>
        </w:rPr>
        <w:t xml:space="preserve"> das empresas do setor dos serviços mercantis não financeiros das seguintes variáveis:</w:t>
      </w:r>
    </w:p>
    <w:p w14:paraId="68877E83" w14:textId="77777777" w:rsidR="006602F3" w:rsidRPr="00F56405" w:rsidRDefault="000361CD" w:rsidP="006602F3">
      <w:pPr>
        <w:numPr>
          <w:ilvl w:val="1"/>
          <w:numId w:val="1"/>
        </w:numPr>
        <w:spacing w:before="120" w:after="0" w:line="360" w:lineRule="auto"/>
        <w:ind w:right="335"/>
        <w:jc w:val="both"/>
        <w:rPr>
          <w:rFonts w:cs="Arial"/>
          <w:sz w:val="22"/>
          <w:szCs w:val="24"/>
        </w:rPr>
      </w:pPr>
      <w:r w:rsidRPr="00F56405">
        <w:rPr>
          <w:rFonts w:cs="Arial"/>
          <w:sz w:val="22"/>
          <w:szCs w:val="24"/>
        </w:rPr>
        <w:t>Volume de negócios (VVN);</w:t>
      </w:r>
    </w:p>
    <w:p w14:paraId="310D4D7E" w14:textId="77777777" w:rsidR="006602F3" w:rsidRDefault="000361CD" w:rsidP="006602F3">
      <w:pPr>
        <w:numPr>
          <w:ilvl w:val="1"/>
          <w:numId w:val="1"/>
        </w:numPr>
        <w:spacing w:before="120" w:after="0" w:line="360" w:lineRule="auto"/>
        <w:ind w:right="335"/>
        <w:jc w:val="both"/>
        <w:rPr>
          <w:rFonts w:cs="Arial"/>
          <w:sz w:val="22"/>
          <w:szCs w:val="24"/>
        </w:rPr>
      </w:pPr>
      <w:r w:rsidRPr="00F56405">
        <w:rPr>
          <w:rFonts w:cs="Arial"/>
          <w:sz w:val="22"/>
          <w:szCs w:val="24"/>
        </w:rPr>
        <w:t>Emprego;</w:t>
      </w:r>
    </w:p>
    <w:p w14:paraId="6662B5CF" w14:textId="77777777" w:rsidR="006602F3" w:rsidRDefault="000361CD" w:rsidP="006602F3">
      <w:pPr>
        <w:numPr>
          <w:ilvl w:val="1"/>
          <w:numId w:val="1"/>
        </w:numPr>
        <w:spacing w:before="120" w:after="0" w:line="360" w:lineRule="auto"/>
        <w:ind w:right="335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lastRenderedPageBreak/>
        <w:t>Remunerações</w:t>
      </w:r>
    </w:p>
    <w:p w14:paraId="73E5BAA3" w14:textId="77777777" w:rsidR="006602F3" w:rsidRPr="00AB30B0" w:rsidRDefault="000361CD" w:rsidP="00CF4E10">
      <w:pPr>
        <w:spacing w:line="360" w:lineRule="auto"/>
        <w:ind w:right="335"/>
        <w:jc w:val="both"/>
        <w:rPr>
          <w:rFonts w:cs="Arial"/>
          <w:sz w:val="22"/>
          <w:szCs w:val="24"/>
        </w:rPr>
      </w:pPr>
      <w:r w:rsidRPr="00F56405">
        <w:rPr>
          <w:rFonts w:cs="Arial"/>
          <w:sz w:val="22"/>
          <w:szCs w:val="24"/>
        </w:rPr>
        <w:t>É uma estatística com recolha direta de dados, os resultados se apresent</w:t>
      </w:r>
      <w:r w:rsidRPr="00F56405">
        <w:rPr>
          <w:rFonts w:cs="Arial"/>
          <w:sz w:val="22"/>
          <w:szCs w:val="24"/>
        </w:rPr>
        <w:t xml:space="preserve">am em forma de índices com o </w:t>
      </w:r>
      <w:r w:rsidRPr="00374C4F">
        <w:rPr>
          <w:rFonts w:cs="Arial"/>
          <w:sz w:val="22"/>
          <w:szCs w:val="24"/>
        </w:rPr>
        <w:t>objetivo</w:t>
      </w:r>
      <w:r w:rsidRPr="00F56405">
        <w:rPr>
          <w:rFonts w:cs="Arial"/>
          <w:sz w:val="22"/>
          <w:szCs w:val="24"/>
        </w:rPr>
        <w:t xml:space="preserve"> de medir variações em relação ao ano base 2014. </w:t>
      </w:r>
    </w:p>
    <w:p w14:paraId="4F35E365" w14:textId="77777777" w:rsidR="006602F3" w:rsidRPr="0033454B" w:rsidRDefault="000361CD" w:rsidP="006602F3">
      <w:pPr>
        <w:pStyle w:val="Ttulo1"/>
      </w:pPr>
      <w:bookmarkStart w:id="7" w:name="_Toc533066858"/>
      <w:bookmarkStart w:id="8" w:name="_Toc1988996"/>
      <w:bookmarkStart w:id="9" w:name="_Toc1995838"/>
      <w:r w:rsidRPr="0033454B">
        <w:t>METODOLOGIA</w:t>
      </w:r>
      <w:bookmarkEnd w:id="7"/>
      <w:bookmarkEnd w:id="8"/>
      <w:bookmarkEnd w:id="9"/>
    </w:p>
    <w:p w14:paraId="61616DFC" w14:textId="77777777" w:rsidR="006602F3" w:rsidRPr="00641CDE" w:rsidRDefault="000361CD" w:rsidP="006602F3">
      <w:pPr>
        <w:pStyle w:val="Corpodetexto"/>
        <w:spacing w:line="360" w:lineRule="auto"/>
        <w:rPr>
          <w:rFonts w:cs="Arial"/>
          <w:b/>
          <w:bCs/>
          <w:sz w:val="22"/>
          <w:szCs w:val="24"/>
        </w:rPr>
      </w:pPr>
      <w:r w:rsidRPr="00641CDE">
        <w:rPr>
          <w:rFonts w:cs="Arial"/>
          <w:sz w:val="22"/>
          <w:szCs w:val="24"/>
        </w:rPr>
        <w:t>Pretende-se descrever de forma resumida a meto</w:t>
      </w:r>
      <w:r>
        <w:rPr>
          <w:rFonts w:cs="Arial"/>
          <w:sz w:val="22"/>
          <w:szCs w:val="24"/>
        </w:rPr>
        <w:t>dologia utilizada no</w:t>
      </w:r>
      <w:r w:rsidR="003D6243">
        <w:rPr>
          <w:rFonts w:cs="Arial"/>
          <w:sz w:val="22"/>
          <w:szCs w:val="24"/>
        </w:rPr>
        <w:t>s</w:t>
      </w:r>
      <w:r>
        <w:rPr>
          <w:rFonts w:cs="Arial"/>
          <w:sz w:val="22"/>
          <w:szCs w:val="24"/>
        </w:rPr>
        <w:t xml:space="preserve"> </w:t>
      </w:r>
      <w:r w:rsidR="000D0058">
        <w:rPr>
          <w:rFonts w:cs="Arial"/>
          <w:sz w:val="22"/>
          <w:szCs w:val="24"/>
        </w:rPr>
        <w:t>Indicador</w:t>
      </w:r>
      <w:r w:rsidR="003D6243">
        <w:rPr>
          <w:rFonts w:cs="Arial"/>
          <w:sz w:val="22"/>
          <w:szCs w:val="24"/>
        </w:rPr>
        <w:t xml:space="preserve">es </w:t>
      </w:r>
      <w:r>
        <w:rPr>
          <w:rFonts w:cs="Arial"/>
          <w:sz w:val="22"/>
          <w:szCs w:val="24"/>
        </w:rPr>
        <w:t>de Atividade Setor Serviços.</w:t>
      </w:r>
    </w:p>
    <w:p w14:paraId="71C543A5" w14:textId="77777777" w:rsidR="006602F3" w:rsidRPr="00906A9F" w:rsidRDefault="000361CD" w:rsidP="006602F3">
      <w:pPr>
        <w:pStyle w:val="Ttulo1"/>
        <w:rPr>
          <w:bCs/>
        </w:rPr>
      </w:pPr>
      <w:bookmarkStart w:id="10" w:name="_Toc533066859"/>
      <w:bookmarkStart w:id="11" w:name="_Toc1988997"/>
      <w:bookmarkStart w:id="12" w:name="_Toc1995839"/>
      <w:r w:rsidRPr="00906A9F">
        <w:t>Âmbito</w:t>
      </w:r>
      <w:bookmarkEnd w:id="10"/>
      <w:bookmarkEnd w:id="11"/>
      <w:bookmarkEnd w:id="12"/>
    </w:p>
    <w:p w14:paraId="37C10EBF" w14:textId="77777777" w:rsidR="006602F3" w:rsidRPr="00D47521" w:rsidRDefault="000361CD" w:rsidP="006602F3">
      <w:pPr>
        <w:pStyle w:val="Corpodetexto"/>
        <w:spacing w:line="360" w:lineRule="auto"/>
        <w:rPr>
          <w:rFonts w:cs="Arial"/>
          <w:b/>
          <w:caps/>
          <w:szCs w:val="24"/>
        </w:rPr>
      </w:pPr>
      <w:bookmarkStart w:id="13" w:name="_Toc1988998"/>
      <w:r w:rsidRPr="00D47521">
        <w:rPr>
          <w:rFonts w:cs="Arial"/>
          <w:sz w:val="22"/>
          <w:szCs w:val="24"/>
        </w:rPr>
        <w:t>E</w:t>
      </w:r>
      <w:r w:rsidRPr="00F56405">
        <w:rPr>
          <w:rFonts w:cs="Arial"/>
          <w:sz w:val="22"/>
          <w:szCs w:val="24"/>
        </w:rPr>
        <w:t xml:space="preserve">mpresas sediadas no território nacional cuja </w:t>
      </w:r>
      <w:r w:rsidRPr="00D47521">
        <w:rPr>
          <w:rFonts w:cs="Arial"/>
          <w:sz w:val="22"/>
          <w:szCs w:val="24"/>
        </w:rPr>
        <w:t>atividade</w:t>
      </w:r>
      <w:r w:rsidRPr="00F56405">
        <w:rPr>
          <w:rFonts w:cs="Arial"/>
          <w:sz w:val="22"/>
          <w:szCs w:val="24"/>
        </w:rPr>
        <w:t xml:space="preserve"> principal se enquadre nas </w:t>
      </w:r>
      <w:r w:rsidRPr="00D47521">
        <w:rPr>
          <w:rFonts w:cs="Arial"/>
          <w:sz w:val="22"/>
          <w:szCs w:val="24"/>
        </w:rPr>
        <w:t>atividades</w:t>
      </w:r>
      <w:r w:rsidRPr="00F56405">
        <w:rPr>
          <w:rFonts w:cs="Arial"/>
          <w:sz w:val="22"/>
          <w:szCs w:val="24"/>
        </w:rPr>
        <w:t xml:space="preserve"> definidas nas Secções G, H, I, J, M, N, P, Q, R e S da CAE-CV Rev.1.</w:t>
      </w:r>
      <w:bookmarkEnd w:id="13"/>
    </w:p>
    <w:p w14:paraId="045F8E55" w14:textId="77777777" w:rsidR="006602F3" w:rsidRPr="00F56405" w:rsidRDefault="000361CD" w:rsidP="006602F3">
      <w:pPr>
        <w:spacing w:line="360" w:lineRule="auto"/>
        <w:rPr>
          <w:rFonts w:cs="Arial"/>
          <w:sz w:val="22"/>
          <w:szCs w:val="24"/>
        </w:rPr>
      </w:pPr>
      <w:r w:rsidRPr="00F56405">
        <w:rPr>
          <w:rFonts w:cs="Arial"/>
          <w:sz w:val="22"/>
          <w:szCs w:val="24"/>
        </w:rPr>
        <w:t>São excluídas as seguintes atividades:</w:t>
      </w:r>
    </w:p>
    <w:p w14:paraId="60E3F74B" w14:textId="77777777" w:rsidR="006602F3" w:rsidRPr="00F56405" w:rsidRDefault="000361CD" w:rsidP="006602F3">
      <w:pPr>
        <w:numPr>
          <w:ilvl w:val="0"/>
          <w:numId w:val="2"/>
        </w:numPr>
        <w:spacing w:before="120" w:after="120" w:line="360" w:lineRule="auto"/>
        <w:rPr>
          <w:rFonts w:cs="Arial"/>
          <w:sz w:val="22"/>
          <w:szCs w:val="24"/>
        </w:rPr>
      </w:pPr>
      <w:r w:rsidRPr="00F56405">
        <w:rPr>
          <w:rFonts w:cs="Arial"/>
          <w:sz w:val="22"/>
          <w:szCs w:val="24"/>
        </w:rPr>
        <w:t xml:space="preserve">Serviços financeiros </w:t>
      </w:r>
      <w:r w:rsidR="00CC621A" w:rsidRPr="00F56405">
        <w:rPr>
          <w:rFonts w:cs="Arial"/>
          <w:sz w:val="22"/>
          <w:szCs w:val="24"/>
        </w:rPr>
        <w:t>e seguros</w:t>
      </w:r>
      <w:r w:rsidRPr="00F56405">
        <w:rPr>
          <w:rFonts w:cs="Arial"/>
          <w:sz w:val="22"/>
          <w:szCs w:val="24"/>
        </w:rPr>
        <w:t xml:space="preserve"> </w:t>
      </w:r>
    </w:p>
    <w:p w14:paraId="2492DCBA" w14:textId="77777777" w:rsidR="006602F3" w:rsidRPr="00F56405" w:rsidRDefault="000361CD" w:rsidP="006602F3">
      <w:pPr>
        <w:numPr>
          <w:ilvl w:val="0"/>
          <w:numId w:val="2"/>
        </w:numPr>
        <w:spacing w:before="120" w:after="120" w:line="360" w:lineRule="auto"/>
        <w:rPr>
          <w:rFonts w:cs="Arial"/>
          <w:sz w:val="22"/>
          <w:szCs w:val="24"/>
        </w:rPr>
      </w:pPr>
      <w:r w:rsidRPr="00F56405">
        <w:rPr>
          <w:rFonts w:cs="Arial"/>
          <w:sz w:val="22"/>
          <w:szCs w:val="24"/>
        </w:rPr>
        <w:t xml:space="preserve">Atividades </w:t>
      </w:r>
      <w:r w:rsidRPr="00F56405">
        <w:rPr>
          <w:rFonts w:cs="Arial"/>
          <w:sz w:val="22"/>
          <w:szCs w:val="24"/>
        </w:rPr>
        <w:t>imobiliárias</w:t>
      </w:r>
    </w:p>
    <w:p w14:paraId="312A954D" w14:textId="77777777" w:rsidR="006602F3" w:rsidRPr="00F56405" w:rsidRDefault="000361CD" w:rsidP="006602F3">
      <w:pPr>
        <w:rPr>
          <w:rFonts w:cs="Arial"/>
          <w:sz w:val="22"/>
        </w:rPr>
      </w:pPr>
      <w:r w:rsidRPr="00F56405">
        <w:rPr>
          <w:rFonts w:cs="Arial"/>
          <w:sz w:val="22"/>
          <w:szCs w:val="24"/>
        </w:rPr>
        <w:t>A base de amostragem é a do IV Recenseamento Empresarial de 2012.</w:t>
      </w:r>
    </w:p>
    <w:p w14:paraId="49AE7A9F" w14:textId="77777777" w:rsidR="006602F3" w:rsidRPr="00F56405" w:rsidRDefault="000361CD" w:rsidP="006602F3">
      <w:pPr>
        <w:pStyle w:val="Ttulo1"/>
      </w:pPr>
      <w:bookmarkStart w:id="14" w:name="_Toc1988999"/>
      <w:bookmarkStart w:id="15" w:name="_Toc1995840"/>
      <w:r w:rsidRPr="00F56405">
        <w:t>Periodicidade de realização da operação</w:t>
      </w:r>
      <w:bookmarkEnd w:id="14"/>
      <w:bookmarkEnd w:id="15"/>
      <w:r w:rsidRPr="00F56405">
        <w:t xml:space="preserve"> </w:t>
      </w:r>
    </w:p>
    <w:p w14:paraId="45A302D3" w14:textId="77777777" w:rsidR="006602F3" w:rsidRPr="00F56405" w:rsidRDefault="000361CD" w:rsidP="006602F3">
      <w:pPr>
        <w:spacing w:line="360" w:lineRule="auto"/>
        <w:rPr>
          <w:rFonts w:cs="Arial"/>
          <w:sz w:val="22"/>
        </w:rPr>
      </w:pPr>
      <w:r w:rsidRPr="00F56405">
        <w:rPr>
          <w:rFonts w:cs="Arial"/>
          <w:sz w:val="22"/>
          <w:szCs w:val="24"/>
        </w:rPr>
        <w:t>Trimestral</w:t>
      </w:r>
    </w:p>
    <w:p w14:paraId="19B0230F" w14:textId="77777777" w:rsidR="006602F3" w:rsidRPr="00A43472" w:rsidRDefault="000361CD" w:rsidP="006602F3">
      <w:pPr>
        <w:pStyle w:val="Ttulo1"/>
      </w:pPr>
      <w:bookmarkStart w:id="16" w:name="_Toc531961137"/>
      <w:bookmarkStart w:id="17" w:name="_Toc1989000"/>
      <w:bookmarkStart w:id="18" w:name="_Toc1995841"/>
      <w:r w:rsidRPr="00A43472">
        <w:t>TIPO DE ÍNDICE E PERÍODO DE REFERÊNCIA</w:t>
      </w:r>
      <w:bookmarkEnd w:id="16"/>
      <w:bookmarkEnd w:id="17"/>
      <w:bookmarkEnd w:id="18"/>
    </w:p>
    <w:p w14:paraId="153DB817" w14:textId="77777777" w:rsidR="000B5098" w:rsidRDefault="000361CD" w:rsidP="00CF4E10">
      <w:pPr>
        <w:tabs>
          <w:tab w:val="left" w:pos="720"/>
        </w:tabs>
        <w:spacing w:line="360" w:lineRule="auto"/>
        <w:jc w:val="both"/>
        <w:rPr>
          <w:rFonts w:cs="Arial"/>
          <w:b/>
          <w:color w:val="000000" w:themeColor="text1"/>
          <w:sz w:val="22"/>
        </w:rPr>
      </w:pPr>
      <w:r>
        <w:rPr>
          <w:rFonts w:cs="Arial"/>
          <w:sz w:val="22"/>
        </w:rPr>
        <w:t xml:space="preserve">O IASS é do tipo Laspeyres com período de referência e valor 100 em </w:t>
      </w:r>
      <w:r w:rsidRPr="002F5125">
        <w:rPr>
          <w:rFonts w:cs="Arial"/>
          <w:sz w:val="22"/>
        </w:rPr>
        <w:t>201</w:t>
      </w:r>
      <w:r>
        <w:rPr>
          <w:rFonts w:cs="Arial"/>
          <w:sz w:val="22"/>
        </w:rPr>
        <w:t>4</w:t>
      </w:r>
      <w:r w:rsidRPr="002F5125">
        <w:rPr>
          <w:rFonts w:cs="Arial"/>
          <w:sz w:val="22"/>
        </w:rPr>
        <w:t xml:space="preserve">. </w:t>
      </w:r>
    </w:p>
    <w:sectPr w:rsidR="000B5098" w:rsidSect="007E4A05">
      <w:type w:val="continuous"/>
      <w:pgSz w:w="11906" w:h="16838"/>
      <w:pgMar w:top="1953" w:right="991" w:bottom="1417" w:left="1276" w:header="567" w:footer="708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13CC9" w14:textId="77777777" w:rsidR="000361CD" w:rsidRDefault="000361CD">
      <w:pPr>
        <w:spacing w:after="0" w:line="240" w:lineRule="auto"/>
      </w:pPr>
      <w:r>
        <w:separator/>
      </w:r>
    </w:p>
  </w:endnote>
  <w:endnote w:type="continuationSeparator" w:id="0">
    <w:p w14:paraId="6DA258C0" w14:textId="77777777" w:rsidR="000361CD" w:rsidRDefault="0003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83F6C" w14:textId="77777777" w:rsidR="00F90A96" w:rsidRPr="003649ED" w:rsidRDefault="000361CD" w:rsidP="003649ED">
    <w:pPr>
      <w:pStyle w:val="SemEspaamento"/>
      <w:rPr>
        <w:color w:val="808080" w:themeColor="background1" w:themeShade="80"/>
        <w:sz w:val="20"/>
        <w:szCs w:val="20"/>
      </w:rPr>
    </w:pPr>
    <w:r w:rsidRPr="003649ED">
      <w:rPr>
        <w:noProof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91778" wp14:editId="66C64D0E">
              <wp:simplePos x="0" y="0"/>
              <wp:positionH relativeFrom="column">
                <wp:posOffset>4611634</wp:posOffset>
              </wp:positionH>
              <wp:positionV relativeFrom="paragraph">
                <wp:posOffset>-20955</wp:posOffset>
              </wp:positionV>
              <wp:extent cx="0" cy="245110"/>
              <wp:effectExtent l="0" t="0" r="19050" b="21590"/>
              <wp:wrapNone/>
              <wp:docPr id="4" name="Conexão rec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511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xão recta 4" o:spid="_x0000_s2049" style="mso-width-percent:0;mso-width-relative:margin;mso-wrap-distance-bottom:0;mso-wrap-distance-left:9pt;mso-wrap-distance-right:9pt;mso-wrap-distance-top:0;mso-wrap-style:square;position:absolute;visibility:visible;z-index:251663360" from="363.1pt,-1.65pt" to="363.1pt,17.65pt" strokecolor="#7f7f7f" strokeweight="1.5pt"/>
          </w:pict>
        </mc:Fallback>
      </mc:AlternateContent>
    </w:r>
    <w:r w:rsidRPr="003649ED">
      <w:rPr>
        <w:noProof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86F298" wp14:editId="34158943">
              <wp:simplePos x="0" y="0"/>
              <wp:positionH relativeFrom="column">
                <wp:posOffset>3518164</wp:posOffset>
              </wp:positionH>
              <wp:positionV relativeFrom="paragraph">
                <wp:posOffset>-21590</wp:posOffset>
              </wp:positionV>
              <wp:extent cx="0" cy="245110"/>
              <wp:effectExtent l="0" t="0" r="19050" b="21590"/>
              <wp:wrapNone/>
              <wp:docPr id="3" name="Conexão rec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511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xão recta 3" o:spid="_x0000_s2050" style="mso-width-percent:0;mso-width-relative:margin;mso-wrap-distance-bottom:0;mso-wrap-distance-left:9pt;mso-wrap-distance-right:9pt;mso-wrap-distance-top:0;mso-wrap-style:square;position:absolute;visibility:visible;z-index:251661312" from="277pt,-1.7pt" to="277pt,17.6pt" strokecolor="#7f7f7f" strokeweight="1.5pt"/>
          </w:pict>
        </mc:Fallback>
      </mc:AlternateContent>
    </w:r>
    <w:r w:rsidRPr="003649ED">
      <w:rPr>
        <w:noProof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3F933A" wp14:editId="56FFE146">
              <wp:simplePos x="0" y="0"/>
              <wp:positionH relativeFrom="column">
                <wp:posOffset>794649</wp:posOffset>
              </wp:positionH>
              <wp:positionV relativeFrom="paragraph">
                <wp:posOffset>-27305</wp:posOffset>
              </wp:positionV>
              <wp:extent cx="0" cy="245110"/>
              <wp:effectExtent l="0" t="0" r="19050" b="21590"/>
              <wp:wrapNone/>
              <wp:docPr id="2" name="Conexão rec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511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xão recta 2" o:spid="_x0000_s2051" style="mso-width-percent:0;mso-width-relative:margin;mso-wrap-distance-bottom:0;mso-wrap-distance-left:9pt;mso-wrap-distance-right:9pt;mso-wrap-distance-top:0;mso-wrap-style:square;position:absolute;visibility:visible;z-index:251659264" from="62.55pt,-2.15pt" to="62.55pt,17.15pt" strokecolor="#7f7f7f" strokeweight="1.5pt"/>
          </w:pict>
        </mc:Fallback>
      </mc:AlternateContent>
    </w:r>
    <w:hyperlink r:id="rId1" w:history="1">
      <w:r w:rsidRPr="003649ED">
        <w:rPr>
          <w:rStyle w:val="Hiperligao"/>
          <w:rFonts w:cs="Arial"/>
          <w:color w:val="808080" w:themeColor="background1" w:themeShade="80"/>
          <w:sz w:val="20"/>
          <w:szCs w:val="20"/>
        </w:rPr>
        <w:t>www.ine.cv</w:t>
      </w:r>
    </w:hyperlink>
    <w:r w:rsidRPr="003649ED">
      <w:rPr>
        <w:color w:val="808080" w:themeColor="background1" w:themeShade="80"/>
        <w:sz w:val="20"/>
        <w:szCs w:val="20"/>
      </w:rPr>
      <w:t xml:space="preserve">       </w:t>
    </w:r>
    <w:r w:rsidRPr="003649ED">
      <w:rPr>
        <w:color w:val="808080" w:themeColor="background1" w:themeShade="80"/>
        <w:sz w:val="18"/>
        <w:szCs w:val="20"/>
      </w:rPr>
      <w:t>Av. Cidade de Lisboa, 18 CP: 116, Fazenda, Praia     inecv@ine.gov.cv      Tel:</w:t>
    </w:r>
    <w:r w:rsidRPr="003649ED">
      <w:rPr>
        <w:color w:val="808080" w:themeColor="background1" w:themeShade="80"/>
        <w:spacing w:val="15"/>
        <w:sz w:val="18"/>
        <w:szCs w:val="20"/>
        <w:shd w:val="clear" w:color="auto" w:fill="FFFFFF"/>
      </w:rPr>
      <w:t xml:space="preserve"> +238 261 38 27</w:t>
    </w:r>
    <w:r w:rsidRPr="003649ED">
      <w:rPr>
        <w:color w:val="808080" w:themeColor="background1" w:themeShade="80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3DEBF" w14:textId="77777777" w:rsidR="000361CD" w:rsidRDefault="000361CD">
      <w:pPr>
        <w:spacing w:after="0" w:line="240" w:lineRule="auto"/>
      </w:pPr>
      <w:r>
        <w:separator/>
      </w:r>
    </w:p>
  </w:footnote>
  <w:footnote w:type="continuationSeparator" w:id="0">
    <w:p w14:paraId="3DB08CBA" w14:textId="77777777" w:rsidR="000361CD" w:rsidRDefault="0003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7B91" w14:textId="77777777" w:rsidR="00F90A96" w:rsidRDefault="000361CD">
    <w:pPr>
      <w:pStyle w:val="Cabealho"/>
    </w:pPr>
    <w:r>
      <w:rPr>
        <w:noProof/>
        <w:lang w:eastAsia="pt-PT"/>
      </w:rPr>
      <w:drawing>
        <wp:inline distT="0" distB="0" distL="0" distR="0" wp14:anchorId="31BEEF1F" wp14:editId="04E840DF">
          <wp:extent cx="6120765" cy="716915"/>
          <wp:effectExtent l="0" t="0" r="0" b="698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8666" name="Nota_Imprensa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B677" w14:textId="77777777" w:rsidR="00F90A96" w:rsidRDefault="000361CD">
    <w:pPr>
      <w:pStyle w:val="Cabealho"/>
    </w:pPr>
    <w:r>
      <w:rPr>
        <w:noProof/>
        <w:lang w:eastAsia="pt-PT"/>
      </w:rPr>
      <w:drawing>
        <wp:inline distT="0" distB="0" distL="0" distR="0" wp14:anchorId="5D0D5EDC" wp14:editId="64FD126F">
          <wp:extent cx="6120765" cy="716915"/>
          <wp:effectExtent l="0" t="0" r="0" b="698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737899" name="Nota_Imprensa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5153E"/>
    <w:multiLevelType w:val="hybridMultilevel"/>
    <w:tmpl w:val="3F8E91BA"/>
    <w:lvl w:ilvl="0" w:tplc="F0A80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06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2E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E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C5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2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45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E5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07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A63A10"/>
    <w:multiLevelType w:val="hybridMultilevel"/>
    <w:tmpl w:val="8744A87C"/>
    <w:lvl w:ilvl="0" w:tplc="7C32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09C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ED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A5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A2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E4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42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0F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64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8F"/>
    <w:rsid w:val="00000F58"/>
    <w:rsid w:val="0000247B"/>
    <w:rsid w:val="00004F78"/>
    <w:rsid w:val="00006F68"/>
    <w:rsid w:val="00007DCD"/>
    <w:rsid w:val="00017128"/>
    <w:rsid w:val="00020401"/>
    <w:rsid w:val="00021BCB"/>
    <w:rsid w:val="0002272E"/>
    <w:rsid w:val="000306BB"/>
    <w:rsid w:val="00030F53"/>
    <w:rsid w:val="000313DE"/>
    <w:rsid w:val="000327A2"/>
    <w:rsid w:val="000361CD"/>
    <w:rsid w:val="00040370"/>
    <w:rsid w:val="000431CF"/>
    <w:rsid w:val="000448B9"/>
    <w:rsid w:val="0004496C"/>
    <w:rsid w:val="000452B6"/>
    <w:rsid w:val="00045EB9"/>
    <w:rsid w:val="000464E0"/>
    <w:rsid w:val="000516E1"/>
    <w:rsid w:val="0005520D"/>
    <w:rsid w:val="00061695"/>
    <w:rsid w:val="00064833"/>
    <w:rsid w:val="00064D05"/>
    <w:rsid w:val="00064F43"/>
    <w:rsid w:val="000654B1"/>
    <w:rsid w:val="000657A5"/>
    <w:rsid w:val="00067233"/>
    <w:rsid w:val="000679DA"/>
    <w:rsid w:val="00070114"/>
    <w:rsid w:val="00071E4B"/>
    <w:rsid w:val="0008324C"/>
    <w:rsid w:val="00085DDD"/>
    <w:rsid w:val="00086B6B"/>
    <w:rsid w:val="00091539"/>
    <w:rsid w:val="00091B9D"/>
    <w:rsid w:val="000926FE"/>
    <w:rsid w:val="00093610"/>
    <w:rsid w:val="0009444F"/>
    <w:rsid w:val="000A2324"/>
    <w:rsid w:val="000B1819"/>
    <w:rsid w:val="000B1947"/>
    <w:rsid w:val="000B5098"/>
    <w:rsid w:val="000B7FBD"/>
    <w:rsid w:val="000C25F8"/>
    <w:rsid w:val="000C6650"/>
    <w:rsid w:val="000D0058"/>
    <w:rsid w:val="000D0E00"/>
    <w:rsid w:val="000D3C2F"/>
    <w:rsid w:val="000D4F12"/>
    <w:rsid w:val="000D786D"/>
    <w:rsid w:val="000E08B0"/>
    <w:rsid w:val="000E1963"/>
    <w:rsid w:val="000E26AA"/>
    <w:rsid w:val="000E3308"/>
    <w:rsid w:val="000E3E26"/>
    <w:rsid w:val="000E592A"/>
    <w:rsid w:val="001004C2"/>
    <w:rsid w:val="00100F3E"/>
    <w:rsid w:val="00103357"/>
    <w:rsid w:val="001047C9"/>
    <w:rsid w:val="001075EE"/>
    <w:rsid w:val="0011090E"/>
    <w:rsid w:val="00110F53"/>
    <w:rsid w:val="00115EEB"/>
    <w:rsid w:val="00116198"/>
    <w:rsid w:val="00117CDF"/>
    <w:rsid w:val="001362D9"/>
    <w:rsid w:val="001458EB"/>
    <w:rsid w:val="00155E57"/>
    <w:rsid w:val="00156422"/>
    <w:rsid w:val="00156874"/>
    <w:rsid w:val="00160531"/>
    <w:rsid w:val="00171BFA"/>
    <w:rsid w:val="00173AC5"/>
    <w:rsid w:val="00174476"/>
    <w:rsid w:val="001744F2"/>
    <w:rsid w:val="001818F3"/>
    <w:rsid w:val="001827BC"/>
    <w:rsid w:val="001835F9"/>
    <w:rsid w:val="001863C7"/>
    <w:rsid w:val="00191D8B"/>
    <w:rsid w:val="0019657D"/>
    <w:rsid w:val="001971E7"/>
    <w:rsid w:val="001A43A0"/>
    <w:rsid w:val="001A644A"/>
    <w:rsid w:val="001A7D23"/>
    <w:rsid w:val="001B352D"/>
    <w:rsid w:val="001B6762"/>
    <w:rsid w:val="001C6059"/>
    <w:rsid w:val="001C77A3"/>
    <w:rsid w:val="001D5E06"/>
    <w:rsid w:val="001E0AD8"/>
    <w:rsid w:val="001E0EDF"/>
    <w:rsid w:val="001E1199"/>
    <w:rsid w:val="001E19C5"/>
    <w:rsid w:val="001E47A7"/>
    <w:rsid w:val="001E76B9"/>
    <w:rsid w:val="001F2C61"/>
    <w:rsid w:val="002000D3"/>
    <w:rsid w:val="0020081D"/>
    <w:rsid w:val="00201BB5"/>
    <w:rsid w:val="00205504"/>
    <w:rsid w:val="00206ACA"/>
    <w:rsid w:val="00207E34"/>
    <w:rsid w:val="00215F5C"/>
    <w:rsid w:val="00224F7B"/>
    <w:rsid w:val="00225520"/>
    <w:rsid w:val="0022581B"/>
    <w:rsid w:val="00231023"/>
    <w:rsid w:val="00233374"/>
    <w:rsid w:val="00235128"/>
    <w:rsid w:val="002358B6"/>
    <w:rsid w:val="002362AE"/>
    <w:rsid w:val="00242998"/>
    <w:rsid w:val="00243F1A"/>
    <w:rsid w:val="00244130"/>
    <w:rsid w:val="00246DB2"/>
    <w:rsid w:val="00250AFD"/>
    <w:rsid w:val="0025281B"/>
    <w:rsid w:val="002528BD"/>
    <w:rsid w:val="002559DF"/>
    <w:rsid w:val="00257C5C"/>
    <w:rsid w:val="00261D50"/>
    <w:rsid w:val="00262B06"/>
    <w:rsid w:val="002630A3"/>
    <w:rsid w:val="00266AFF"/>
    <w:rsid w:val="00267123"/>
    <w:rsid w:val="00267845"/>
    <w:rsid w:val="002679E5"/>
    <w:rsid w:val="00267E6B"/>
    <w:rsid w:val="002802DE"/>
    <w:rsid w:val="00280568"/>
    <w:rsid w:val="00282C41"/>
    <w:rsid w:val="00290960"/>
    <w:rsid w:val="00296AEF"/>
    <w:rsid w:val="002A059E"/>
    <w:rsid w:val="002A17E6"/>
    <w:rsid w:val="002A2C8C"/>
    <w:rsid w:val="002A734B"/>
    <w:rsid w:val="002B640A"/>
    <w:rsid w:val="002B6A2F"/>
    <w:rsid w:val="002B7771"/>
    <w:rsid w:val="002C097C"/>
    <w:rsid w:val="002C0D67"/>
    <w:rsid w:val="002C635A"/>
    <w:rsid w:val="002C7046"/>
    <w:rsid w:val="002D136C"/>
    <w:rsid w:val="002D2F3D"/>
    <w:rsid w:val="002D43EF"/>
    <w:rsid w:val="002E3CA6"/>
    <w:rsid w:val="002E6C53"/>
    <w:rsid w:val="002F5125"/>
    <w:rsid w:val="002F7A88"/>
    <w:rsid w:val="00300F82"/>
    <w:rsid w:val="0030192D"/>
    <w:rsid w:val="003031A2"/>
    <w:rsid w:val="00303C75"/>
    <w:rsid w:val="00313DE6"/>
    <w:rsid w:val="00316174"/>
    <w:rsid w:val="0032723F"/>
    <w:rsid w:val="0033146F"/>
    <w:rsid w:val="003327DB"/>
    <w:rsid w:val="0033300C"/>
    <w:rsid w:val="00333581"/>
    <w:rsid w:val="0033454B"/>
    <w:rsid w:val="00343B7D"/>
    <w:rsid w:val="003458DB"/>
    <w:rsid w:val="00353A89"/>
    <w:rsid w:val="00360811"/>
    <w:rsid w:val="003635FF"/>
    <w:rsid w:val="003649ED"/>
    <w:rsid w:val="00364EC2"/>
    <w:rsid w:val="00366206"/>
    <w:rsid w:val="00373B14"/>
    <w:rsid w:val="003742D2"/>
    <w:rsid w:val="0037485C"/>
    <w:rsid w:val="00374C4F"/>
    <w:rsid w:val="00374DB5"/>
    <w:rsid w:val="00375930"/>
    <w:rsid w:val="00377413"/>
    <w:rsid w:val="00385BD9"/>
    <w:rsid w:val="0038696D"/>
    <w:rsid w:val="003950C8"/>
    <w:rsid w:val="003976C9"/>
    <w:rsid w:val="003A5269"/>
    <w:rsid w:val="003A65BF"/>
    <w:rsid w:val="003B1BFA"/>
    <w:rsid w:val="003B4251"/>
    <w:rsid w:val="003C3538"/>
    <w:rsid w:val="003C4796"/>
    <w:rsid w:val="003C5300"/>
    <w:rsid w:val="003C6C36"/>
    <w:rsid w:val="003D6243"/>
    <w:rsid w:val="003D6F34"/>
    <w:rsid w:val="003D7184"/>
    <w:rsid w:val="003D7709"/>
    <w:rsid w:val="003E074D"/>
    <w:rsid w:val="003E4CE6"/>
    <w:rsid w:val="003F4660"/>
    <w:rsid w:val="003F62F1"/>
    <w:rsid w:val="00403C05"/>
    <w:rsid w:val="004067D8"/>
    <w:rsid w:val="00410E07"/>
    <w:rsid w:val="004126D0"/>
    <w:rsid w:val="00416EAF"/>
    <w:rsid w:val="00417EE5"/>
    <w:rsid w:val="00422417"/>
    <w:rsid w:val="0042344E"/>
    <w:rsid w:val="00423BEE"/>
    <w:rsid w:val="00431C47"/>
    <w:rsid w:val="00433FFB"/>
    <w:rsid w:val="00435351"/>
    <w:rsid w:val="004400A6"/>
    <w:rsid w:val="0044070F"/>
    <w:rsid w:val="00440CA6"/>
    <w:rsid w:val="00443402"/>
    <w:rsid w:val="00447D92"/>
    <w:rsid w:val="00451ED0"/>
    <w:rsid w:val="00470911"/>
    <w:rsid w:val="00473124"/>
    <w:rsid w:val="0047394D"/>
    <w:rsid w:val="00475780"/>
    <w:rsid w:val="00480935"/>
    <w:rsid w:val="00481326"/>
    <w:rsid w:val="00483601"/>
    <w:rsid w:val="00491B37"/>
    <w:rsid w:val="00493B14"/>
    <w:rsid w:val="0049590F"/>
    <w:rsid w:val="004A5B44"/>
    <w:rsid w:val="004A7839"/>
    <w:rsid w:val="004B2289"/>
    <w:rsid w:val="004B54DD"/>
    <w:rsid w:val="004B7968"/>
    <w:rsid w:val="004C4E7D"/>
    <w:rsid w:val="004C79E5"/>
    <w:rsid w:val="004D088D"/>
    <w:rsid w:val="004E0EDC"/>
    <w:rsid w:val="004E6A72"/>
    <w:rsid w:val="004F5704"/>
    <w:rsid w:val="0050042E"/>
    <w:rsid w:val="00501142"/>
    <w:rsid w:val="00502C27"/>
    <w:rsid w:val="00503288"/>
    <w:rsid w:val="00506D85"/>
    <w:rsid w:val="00511CEC"/>
    <w:rsid w:val="00512CE5"/>
    <w:rsid w:val="00515BD8"/>
    <w:rsid w:val="00521493"/>
    <w:rsid w:val="00521864"/>
    <w:rsid w:val="00522BF2"/>
    <w:rsid w:val="00523705"/>
    <w:rsid w:val="00525266"/>
    <w:rsid w:val="00530907"/>
    <w:rsid w:val="00532DC8"/>
    <w:rsid w:val="00533C1F"/>
    <w:rsid w:val="005344CB"/>
    <w:rsid w:val="00537369"/>
    <w:rsid w:val="00543CC6"/>
    <w:rsid w:val="00550203"/>
    <w:rsid w:val="005505AC"/>
    <w:rsid w:val="005554FA"/>
    <w:rsid w:val="0055719A"/>
    <w:rsid w:val="005577AD"/>
    <w:rsid w:val="00560548"/>
    <w:rsid w:val="00562B6C"/>
    <w:rsid w:val="005675EF"/>
    <w:rsid w:val="005703AD"/>
    <w:rsid w:val="00571600"/>
    <w:rsid w:val="00573872"/>
    <w:rsid w:val="0057582E"/>
    <w:rsid w:val="00577635"/>
    <w:rsid w:val="00577FEB"/>
    <w:rsid w:val="00582C02"/>
    <w:rsid w:val="005940A9"/>
    <w:rsid w:val="005A004E"/>
    <w:rsid w:val="005A02C8"/>
    <w:rsid w:val="005A39DB"/>
    <w:rsid w:val="005B0511"/>
    <w:rsid w:val="005B38FC"/>
    <w:rsid w:val="005C0777"/>
    <w:rsid w:val="005C73FD"/>
    <w:rsid w:val="005D02FB"/>
    <w:rsid w:val="005D1897"/>
    <w:rsid w:val="005D63F5"/>
    <w:rsid w:val="005E0BC0"/>
    <w:rsid w:val="005F0A7F"/>
    <w:rsid w:val="005F4004"/>
    <w:rsid w:val="006000D4"/>
    <w:rsid w:val="00602CF5"/>
    <w:rsid w:val="0060497F"/>
    <w:rsid w:val="00605CFB"/>
    <w:rsid w:val="006115FE"/>
    <w:rsid w:val="00612B98"/>
    <w:rsid w:val="006169F0"/>
    <w:rsid w:val="00620C4E"/>
    <w:rsid w:val="00620F1C"/>
    <w:rsid w:val="00621E21"/>
    <w:rsid w:val="00623AED"/>
    <w:rsid w:val="00625247"/>
    <w:rsid w:val="00630442"/>
    <w:rsid w:val="0063186B"/>
    <w:rsid w:val="00632BBC"/>
    <w:rsid w:val="00632FB0"/>
    <w:rsid w:val="006355A2"/>
    <w:rsid w:val="00635A71"/>
    <w:rsid w:val="006363D8"/>
    <w:rsid w:val="00641CDE"/>
    <w:rsid w:val="00642CD2"/>
    <w:rsid w:val="00650B5B"/>
    <w:rsid w:val="006602F3"/>
    <w:rsid w:val="00662C8E"/>
    <w:rsid w:val="00674074"/>
    <w:rsid w:val="006752BC"/>
    <w:rsid w:val="00676E31"/>
    <w:rsid w:val="00677F5A"/>
    <w:rsid w:val="00680081"/>
    <w:rsid w:val="006806D1"/>
    <w:rsid w:val="0068101D"/>
    <w:rsid w:val="00682A1A"/>
    <w:rsid w:val="00682F20"/>
    <w:rsid w:val="00693173"/>
    <w:rsid w:val="00694CA5"/>
    <w:rsid w:val="00694D6D"/>
    <w:rsid w:val="006A203E"/>
    <w:rsid w:val="006A6C1B"/>
    <w:rsid w:val="006B23C0"/>
    <w:rsid w:val="006B2DFC"/>
    <w:rsid w:val="006B3313"/>
    <w:rsid w:val="006B7D12"/>
    <w:rsid w:val="006C2E85"/>
    <w:rsid w:val="006C53F4"/>
    <w:rsid w:val="006C7F24"/>
    <w:rsid w:val="006D0973"/>
    <w:rsid w:val="006D2F79"/>
    <w:rsid w:val="006D5E21"/>
    <w:rsid w:val="006D6328"/>
    <w:rsid w:val="006D7FB4"/>
    <w:rsid w:val="006E2560"/>
    <w:rsid w:val="006E5D1F"/>
    <w:rsid w:val="006F3AAC"/>
    <w:rsid w:val="006F4DCC"/>
    <w:rsid w:val="006F5C55"/>
    <w:rsid w:val="007017A3"/>
    <w:rsid w:val="007023B4"/>
    <w:rsid w:val="00710EAB"/>
    <w:rsid w:val="00711452"/>
    <w:rsid w:val="00721605"/>
    <w:rsid w:val="00723EC1"/>
    <w:rsid w:val="007307C8"/>
    <w:rsid w:val="00730C5E"/>
    <w:rsid w:val="007323BE"/>
    <w:rsid w:val="007372B6"/>
    <w:rsid w:val="0075511F"/>
    <w:rsid w:val="007606F9"/>
    <w:rsid w:val="0076190A"/>
    <w:rsid w:val="00765955"/>
    <w:rsid w:val="0076733D"/>
    <w:rsid w:val="00772584"/>
    <w:rsid w:val="007728B3"/>
    <w:rsid w:val="00776F27"/>
    <w:rsid w:val="00781B4D"/>
    <w:rsid w:val="00783D2F"/>
    <w:rsid w:val="0078411D"/>
    <w:rsid w:val="00784DC6"/>
    <w:rsid w:val="007867AD"/>
    <w:rsid w:val="00786D4D"/>
    <w:rsid w:val="00787B53"/>
    <w:rsid w:val="00797B8F"/>
    <w:rsid w:val="007A0327"/>
    <w:rsid w:val="007A337D"/>
    <w:rsid w:val="007A77C1"/>
    <w:rsid w:val="007C0AB4"/>
    <w:rsid w:val="007D3AAB"/>
    <w:rsid w:val="007D50FD"/>
    <w:rsid w:val="007D71EB"/>
    <w:rsid w:val="007D7C64"/>
    <w:rsid w:val="007E090F"/>
    <w:rsid w:val="007E22AF"/>
    <w:rsid w:val="007E292E"/>
    <w:rsid w:val="007E4A05"/>
    <w:rsid w:val="007E5268"/>
    <w:rsid w:val="007E75A0"/>
    <w:rsid w:val="007F0C96"/>
    <w:rsid w:val="007F14A1"/>
    <w:rsid w:val="00800735"/>
    <w:rsid w:val="0080568F"/>
    <w:rsid w:val="0080652C"/>
    <w:rsid w:val="008078D5"/>
    <w:rsid w:val="008125A5"/>
    <w:rsid w:val="0081597D"/>
    <w:rsid w:val="0081623F"/>
    <w:rsid w:val="00821F41"/>
    <w:rsid w:val="0083018E"/>
    <w:rsid w:val="0083272F"/>
    <w:rsid w:val="008347B6"/>
    <w:rsid w:val="0083708C"/>
    <w:rsid w:val="008461A6"/>
    <w:rsid w:val="00846BC7"/>
    <w:rsid w:val="0085557B"/>
    <w:rsid w:val="00857483"/>
    <w:rsid w:val="008646E3"/>
    <w:rsid w:val="00864A64"/>
    <w:rsid w:val="00871EBC"/>
    <w:rsid w:val="008806A4"/>
    <w:rsid w:val="0088345D"/>
    <w:rsid w:val="008840B5"/>
    <w:rsid w:val="00884225"/>
    <w:rsid w:val="00885EA6"/>
    <w:rsid w:val="008866D5"/>
    <w:rsid w:val="00887E19"/>
    <w:rsid w:val="0089012C"/>
    <w:rsid w:val="00890AE3"/>
    <w:rsid w:val="008911D0"/>
    <w:rsid w:val="00891A0E"/>
    <w:rsid w:val="00894036"/>
    <w:rsid w:val="0089773D"/>
    <w:rsid w:val="008A0F89"/>
    <w:rsid w:val="008A2EBD"/>
    <w:rsid w:val="008A3CDA"/>
    <w:rsid w:val="008A4FE4"/>
    <w:rsid w:val="008A557B"/>
    <w:rsid w:val="008A6C8B"/>
    <w:rsid w:val="008A7BE1"/>
    <w:rsid w:val="008B32E7"/>
    <w:rsid w:val="008B3F3A"/>
    <w:rsid w:val="008B6508"/>
    <w:rsid w:val="008B7D9F"/>
    <w:rsid w:val="008C2124"/>
    <w:rsid w:val="008C2CDE"/>
    <w:rsid w:val="008E3B54"/>
    <w:rsid w:val="008E420E"/>
    <w:rsid w:val="008E60A9"/>
    <w:rsid w:val="008E6485"/>
    <w:rsid w:val="008F05FD"/>
    <w:rsid w:val="008F07B0"/>
    <w:rsid w:val="008F2F83"/>
    <w:rsid w:val="008F545E"/>
    <w:rsid w:val="008F7CB4"/>
    <w:rsid w:val="00900E5E"/>
    <w:rsid w:val="0090169A"/>
    <w:rsid w:val="00906A9F"/>
    <w:rsid w:val="00910295"/>
    <w:rsid w:val="00910340"/>
    <w:rsid w:val="00910A32"/>
    <w:rsid w:val="00914AB0"/>
    <w:rsid w:val="0091569F"/>
    <w:rsid w:val="00915BF3"/>
    <w:rsid w:val="00923676"/>
    <w:rsid w:val="00925B68"/>
    <w:rsid w:val="00925DEB"/>
    <w:rsid w:val="00932277"/>
    <w:rsid w:val="00942BA4"/>
    <w:rsid w:val="0095115B"/>
    <w:rsid w:val="00954BA3"/>
    <w:rsid w:val="00962595"/>
    <w:rsid w:val="0096548F"/>
    <w:rsid w:val="0096588C"/>
    <w:rsid w:val="0096621F"/>
    <w:rsid w:val="0096650D"/>
    <w:rsid w:val="009719F9"/>
    <w:rsid w:val="0097215E"/>
    <w:rsid w:val="00980B2D"/>
    <w:rsid w:val="00981A16"/>
    <w:rsid w:val="0098360E"/>
    <w:rsid w:val="009837DD"/>
    <w:rsid w:val="009935E5"/>
    <w:rsid w:val="0099516E"/>
    <w:rsid w:val="00996737"/>
    <w:rsid w:val="009A0582"/>
    <w:rsid w:val="009A4002"/>
    <w:rsid w:val="009A68A2"/>
    <w:rsid w:val="009A70DF"/>
    <w:rsid w:val="009B33D2"/>
    <w:rsid w:val="009B5F52"/>
    <w:rsid w:val="009B6564"/>
    <w:rsid w:val="009C262C"/>
    <w:rsid w:val="009C4738"/>
    <w:rsid w:val="009D1703"/>
    <w:rsid w:val="009D1940"/>
    <w:rsid w:val="009D39F2"/>
    <w:rsid w:val="009E3E4A"/>
    <w:rsid w:val="009F128F"/>
    <w:rsid w:val="009F6A08"/>
    <w:rsid w:val="00A018D5"/>
    <w:rsid w:val="00A05FEC"/>
    <w:rsid w:val="00A10B58"/>
    <w:rsid w:val="00A16347"/>
    <w:rsid w:val="00A17559"/>
    <w:rsid w:val="00A22A16"/>
    <w:rsid w:val="00A24427"/>
    <w:rsid w:val="00A252F6"/>
    <w:rsid w:val="00A25BF9"/>
    <w:rsid w:val="00A26C8D"/>
    <w:rsid w:val="00A27DA3"/>
    <w:rsid w:val="00A30A21"/>
    <w:rsid w:val="00A3139B"/>
    <w:rsid w:val="00A316C7"/>
    <w:rsid w:val="00A32F38"/>
    <w:rsid w:val="00A33FE2"/>
    <w:rsid w:val="00A36073"/>
    <w:rsid w:val="00A40196"/>
    <w:rsid w:val="00A41C35"/>
    <w:rsid w:val="00A43472"/>
    <w:rsid w:val="00A44141"/>
    <w:rsid w:val="00A478F0"/>
    <w:rsid w:val="00A512DD"/>
    <w:rsid w:val="00A5377D"/>
    <w:rsid w:val="00A53FD1"/>
    <w:rsid w:val="00A60409"/>
    <w:rsid w:val="00A65C6E"/>
    <w:rsid w:val="00A7095E"/>
    <w:rsid w:val="00A76030"/>
    <w:rsid w:val="00A81F86"/>
    <w:rsid w:val="00A833A8"/>
    <w:rsid w:val="00A83AF5"/>
    <w:rsid w:val="00A846A1"/>
    <w:rsid w:val="00A87993"/>
    <w:rsid w:val="00A90CC8"/>
    <w:rsid w:val="00A91586"/>
    <w:rsid w:val="00A91B91"/>
    <w:rsid w:val="00A927B7"/>
    <w:rsid w:val="00A93C16"/>
    <w:rsid w:val="00AA45BC"/>
    <w:rsid w:val="00AA4DE0"/>
    <w:rsid w:val="00AA6BCF"/>
    <w:rsid w:val="00AB0D7C"/>
    <w:rsid w:val="00AB30B0"/>
    <w:rsid w:val="00AB39EE"/>
    <w:rsid w:val="00AC4A68"/>
    <w:rsid w:val="00AC65F3"/>
    <w:rsid w:val="00AD25C1"/>
    <w:rsid w:val="00AD7513"/>
    <w:rsid w:val="00AE0635"/>
    <w:rsid w:val="00AE2016"/>
    <w:rsid w:val="00AE67D7"/>
    <w:rsid w:val="00AF0308"/>
    <w:rsid w:val="00AF1E3D"/>
    <w:rsid w:val="00B00FDE"/>
    <w:rsid w:val="00B0725E"/>
    <w:rsid w:val="00B1243D"/>
    <w:rsid w:val="00B1320B"/>
    <w:rsid w:val="00B14F57"/>
    <w:rsid w:val="00B20162"/>
    <w:rsid w:val="00B21CC4"/>
    <w:rsid w:val="00B2294D"/>
    <w:rsid w:val="00B240B9"/>
    <w:rsid w:val="00B327D8"/>
    <w:rsid w:val="00B42B51"/>
    <w:rsid w:val="00B46C22"/>
    <w:rsid w:val="00B53329"/>
    <w:rsid w:val="00B53A59"/>
    <w:rsid w:val="00B74C93"/>
    <w:rsid w:val="00B74FA3"/>
    <w:rsid w:val="00B75743"/>
    <w:rsid w:val="00B82570"/>
    <w:rsid w:val="00B82A7A"/>
    <w:rsid w:val="00B9238E"/>
    <w:rsid w:val="00BA1C7B"/>
    <w:rsid w:val="00BA1F4B"/>
    <w:rsid w:val="00BA569A"/>
    <w:rsid w:val="00BA7604"/>
    <w:rsid w:val="00BB14E0"/>
    <w:rsid w:val="00BB16C5"/>
    <w:rsid w:val="00BB5D35"/>
    <w:rsid w:val="00BB693C"/>
    <w:rsid w:val="00BC0E27"/>
    <w:rsid w:val="00BC24FA"/>
    <w:rsid w:val="00BC2F18"/>
    <w:rsid w:val="00BC34B4"/>
    <w:rsid w:val="00BC505F"/>
    <w:rsid w:val="00BC6256"/>
    <w:rsid w:val="00BC6305"/>
    <w:rsid w:val="00BD1988"/>
    <w:rsid w:val="00BD6BFA"/>
    <w:rsid w:val="00BD7568"/>
    <w:rsid w:val="00BE1437"/>
    <w:rsid w:val="00BE44D2"/>
    <w:rsid w:val="00BF2AC1"/>
    <w:rsid w:val="00C03366"/>
    <w:rsid w:val="00C065B5"/>
    <w:rsid w:val="00C07B75"/>
    <w:rsid w:val="00C276FE"/>
    <w:rsid w:val="00C30B6F"/>
    <w:rsid w:val="00C338A6"/>
    <w:rsid w:val="00C33B29"/>
    <w:rsid w:val="00C35981"/>
    <w:rsid w:val="00C4119B"/>
    <w:rsid w:val="00C42266"/>
    <w:rsid w:val="00C42D7C"/>
    <w:rsid w:val="00C43BBE"/>
    <w:rsid w:val="00C43F2F"/>
    <w:rsid w:val="00C4535F"/>
    <w:rsid w:val="00C454E9"/>
    <w:rsid w:val="00C46E73"/>
    <w:rsid w:val="00C46FEB"/>
    <w:rsid w:val="00C51AA3"/>
    <w:rsid w:val="00C51B06"/>
    <w:rsid w:val="00C527E8"/>
    <w:rsid w:val="00C56B6F"/>
    <w:rsid w:val="00C619FC"/>
    <w:rsid w:val="00C64FBE"/>
    <w:rsid w:val="00C652CE"/>
    <w:rsid w:val="00C71196"/>
    <w:rsid w:val="00C72504"/>
    <w:rsid w:val="00C74AB4"/>
    <w:rsid w:val="00C8198A"/>
    <w:rsid w:val="00C82151"/>
    <w:rsid w:val="00C90E70"/>
    <w:rsid w:val="00C92DB6"/>
    <w:rsid w:val="00C947B0"/>
    <w:rsid w:val="00C961A6"/>
    <w:rsid w:val="00CA058A"/>
    <w:rsid w:val="00CA0BEC"/>
    <w:rsid w:val="00CA27C3"/>
    <w:rsid w:val="00CA492D"/>
    <w:rsid w:val="00CA7F90"/>
    <w:rsid w:val="00CB504D"/>
    <w:rsid w:val="00CB7A60"/>
    <w:rsid w:val="00CC1BA4"/>
    <w:rsid w:val="00CC621A"/>
    <w:rsid w:val="00CD20D4"/>
    <w:rsid w:val="00CD62B5"/>
    <w:rsid w:val="00CF1AD2"/>
    <w:rsid w:val="00CF4E10"/>
    <w:rsid w:val="00CF6370"/>
    <w:rsid w:val="00CF6EA7"/>
    <w:rsid w:val="00CF7A6A"/>
    <w:rsid w:val="00D0252C"/>
    <w:rsid w:val="00D0585B"/>
    <w:rsid w:val="00D124D4"/>
    <w:rsid w:val="00D12EE0"/>
    <w:rsid w:val="00D14DA1"/>
    <w:rsid w:val="00D201FF"/>
    <w:rsid w:val="00D20E1F"/>
    <w:rsid w:val="00D22D9D"/>
    <w:rsid w:val="00D30E41"/>
    <w:rsid w:val="00D32671"/>
    <w:rsid w:val="00D46058"/>
    <w:rsid w:val="00D47521"/>
    <w:rsid w:val="00D5175F"/>
    <w:rsid w:val="00D52FBC"/>
    <w:rsid w:val="00D61C02"/>
    <w:rsid w:val="00D65653"/>
    <w:rsid w:val="00D7394A"/>
    <w:rsid w:val="00D7446B"/>
    <w:rsid w:val="00D764CA"/>
    <w:rsid w:val="00D7787E"/>
    <w:rsid w:val="00D81545"/>
    <w:rsid w:val="00D82EEF"/>
    <w:rsid w:val="00D84234"/>
    <w:rsid w:val="00D86273"/>
    <w:rsid w:val="00D87048"/>
    <w:rsid w:val="00D95FDD"/>
    <w:rsid w:val="00DB2275"/>
    <w:rsid w:val="00DB4DA7"/>
    <w:rsid w:val="00DC14C1"/>
    <w:rsid w:val="00DC4034"/>
    <w:rsid w:val="00DD12F5"/>
    <w:rsid w:val="00DD1669"/>
    <w:rsid w:val="00DD29C5"/>
    <w:rsid w:val="00DD396E"/>
    <w:rsid w:val="00DD4BFE"/>
    <w:rsid w:val="00DD6271"/>
    <w:rsid w:val="00DE4848"/>
    <w:rsid w:val="00DE51A5"/>
    <w:rsid w:val="00DF5D92"/>
    <w:rsid w:val="00E023A3"/>
    <w:rsid w:val="00E03B3A"/>
    <w:rsid w:val="00E065BE"/>
    <w:rsid w:val="00E14030"/>
    <w:rsid w:val="00E142D3"/>
    <w:rsid w:val="00E14AE2"/>
    <w:rsid w:val="00E2223B"/>
    <w:rsid w:val="00E25D24"/>
    <w:rsid w:val="00E3488D"/>
    <w:rsid w:val="00E4649C"/>
    <w:rsid w:val="00E4680C"/>
    <w:rsid w:val="00E53089"/>
    <w:rsid w:val="00E53327"/>
    <w:rsid w:val="00E53D5B"/>
    <w:rsid w:val="00E60243"/>
    <w:rsid w:val="00E6244E"/>
    <w:rsid w:val="00E635AE"/>
    <w:rsid w:val="00E655DB"/>
    <w:rsid w:val="00E66E9E"/>
    <w:rsid w:val="00E671EA"/>
    <w:rsid w:val="00E67FE5"/>
    <w:rsid w:val="00E73A37"/>
    <w:rsid w:val="00E81158"/>
    <w:rsid w:val="00E81B2D"/>
    <w:rsid w:val="00E82F56"/>
    <w:rsid w:val="00E8486A"/>
    <w:rsid w:val="00E87F67"/>
    <w:rsid w:val="00E93378"/>
    <w:rsid w:val="00EA0B49"/>
    <w:rsid w:val="00EA4207"/>
    <w:rsid w:val="00EA42CB"/>
    <w:rsid w:val="00EB21A6"/>
    <w:rsid w:val="00EB21EC"/>
    <w:rsid w:val="00EB5FE5"/>
    <w:rsid w:val="00EC766C"/>
    <w:rsid w:val="00ED09C7"/>
    <w:rsid w:val="00ED36FC"/>
    <w:rsid w:val="00ED784B"/>
    <w:rsid w:val="00EE2ACC"/>
    <w:rsid w:val="00EE6678"/>
    <w:rsid w:val="00EE6816"/>
    <w:rsid w:val="00EF057B"/>
    <w:rsid w:val="00EF0E3B"/>
    <w:rsid w:val="00EF192D"/>
    <w:rsid w:val="00EF294B"/>
    <w:rsid w:val="00F0394F"/>
    <w:rsid w:val="00F0428B"/>
    <w:rsid w:val="00F05699"/>
    <w:rsid w:val="00F10562"/>
    <w:rsid w:val="00F12B1E"/>
    <w:rsid w:val="00F13518"/>
    <w:rsid w:val="00F15877"/>
    <w:rsid w:val="00F16487"/>
    <w:rsid w:val="00F23FD2"/>
    <w:rsid w:val="00F30725"/>
    <w:rsid w:val="00F30EF2"/>
    <w:rsid w:val="00F35FFC"/>
    <w:rsid w:val="00F45A06"/>
    <w:rsid w:val="00F549FD"/>
    <w:rsid w:val="00F55BE1"/>
    <w:rsid w:val="00F56405"/>
    <w:rsid w:val="00F6250F"/>
    <w:rsid w:val="00F62659"/>
    <w:rsid w:val="00F64574"/>
    <w:rsid w:val="00F70717"/>
    <w:rsid w:val="00F7083A"/>
    <w:rsid w:val="00F76BBD"/>
    <w:rsid w:val="00F84301"/>
    <w:rsid w:val="00F90A96"/>
    <w:rsid w:val="00F92D88"/>
    <w:rsid w:val="00F97C63"/>
    <w:rsid w:val="00FA036B"/>
    <w:rsid w:val="00FA6C9C"/>
    <w:rsid w:val="00FB09D5"/>
    <w:rsid w:val="00FB34D1"/>
    <w:rsid w:val="00FB5EBB"/>
    <w:rsid w:val="00FB7CE3"/>
    <w:rsid w:val="00FD1F8C"/>
    <w:rsid w:val="00FD2339"/>
    <w:rsid w:val="00FD5D7C"/>
    <w:rsid w:val="00FD772A"/>
    <w:rsid w:val="00FF0278"/>
    <w:rsid w:val="00FF101A"/>
    <w:rsid w:val="00FF18C9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AE18"/>
  <w15:docId w15:val="{EEE96A27-57EC-44DF-8275-4C41ED5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9ED"/>
    <w:rPr>
      <w:rFonts w:ascii="Arial" w:hAnsi="Arial"/>
      <w:sz w:val="36"/>
    </w:rPr>
  </w:style>
  <w:style w:type="paragraph" w:styleId="Ttulo1">
    <w:name w:val="heading 1"/>
    <w:basedOn w:val="Normal"/>
    <w:next w:val="Normal"/>
    <w:link w:val="Ttulo1Carter"/>
    <w:autoRedefine/>
    <w:qFormat/>
    <w:rsid w:val="006602F3"/>
    <w:pPr>
      <w:keepNext/>
      <w:spacing w:before="360" w:after="240" w:line="240" w:lineRule="auto"/>
      <w:outlineLvl w:val="0"/>
    </w:pPr>
    <w:rPr>
      <w:rFonts w:eastAsia="Times New Roman" w:cs="Times New Roman"/>
      <w:b/>
      <w:caps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65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548F"/>
  </w:style>
  <w:style w:type="paragraph" w:styleId="Rodap">
    <w:name w:val="footer"/>
    <w:basedOn w:val="Normal"/>
    <w:link w:val="RodapCarter"/>
    <w:uiPriority w:val="99"/>
    <w:unhideWhenUsed/>
    <w:rsid w:val="00965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548F"/>
  </w:style>
  <w:style w:type="paragraph" w:styleId="Textodebalo">
    <w:name w:val="Balloon Text"/>
    <w:basedOn w:val="Normal"/>
    <w:link w:val="TextodebaloCarter"/>
    <w:uiPriority w:val="99"/>
    <w:semiHidden/>
    <w:unhideWhenUsed/>
    <w:rsid w:val="0085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5557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5557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2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649ED"/>
    <w:pPr>
      <w:spacing w:after="0" w:line="240" w:lineRule="auto"/>
    </w:pPr>
    <w:rPr>
      <w:rFonts w:ascii="Arial" w:hAnsi="Arial"/>
    </w:rPr>
  </w:style>
  <w:style w:type="table" w:styleId="SombreadoClaro">
    <w:name w:val="Light Shading"/>
    <w:basedOn w:val="Tabelanormal"/>
    <w:uiPriority w:val="60"/>
    <w:rsid w:val="00B46C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F55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F45A06"/>
    <w:pPr>
      <w:spacing w:before="120" w:after="120" w:line="240" w:lineRule="auto"/>
      <w:jc w:val="center"/>
    </w:pPr>
    <w:rPr>
      <w:rFonts w:eastAsia="Times New Roman" w:cs="Times New Roman"/>
      <w:b/>
      <w:iCs/>
      <w:sz w:val="20"/>
      <w:szCs w:val="18"/>
      <w:lang w:eastAsia="pt-PT"/>
    </w:rPr>
  </w:style>
  <w:style w:type="character" w:customStyle="1" w:styleId="Ttulo1Carter">
    <w:name w:val="Título 1 Caráter"/>
    <w:basedOn w:val="Tipodeletrapredefinidodopargrafo"/>
    <w:link w:val="Ttulo1"/>
    <w:rsid w:val="006602F3"/>
    <w:rPr>
      <w:rFonts w:ascii="Arial" w:eastAsia="Times New Roman" w:hAnsi="Arial" w:cs="Times New Roman"/>
      <w:b/>
      <w:cap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rsid w:val="006602F3"/>
    <w:pPr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602F3"/>
    <w:rPr>
      <w:rFonts w:ascii="Arial" w:eastAsia="Times New Roman" w:hAnsi="Arial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cha@ine.gov.c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mar.Sanches@ine.gov.c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cruz@ine.gov.c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.c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B4FC-46D7-4CBB-8F89-42C7177E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Inecv@ine.gov.cv</dc:creator>
  <cp:lastModifiedBy>INECV - Rosangela Gisele Garcia Silva</cp:lastModifiedBy>
  <cp:revision>2</cp:revision>
  <cp:lastPrinted>2016-08-31T10:05:00Z</cp:lastPrinted>
  <dcterms:created xsi:type="dcterms:W3CDTF">2021-01-07T15:16:00Z</dcterms:created>
  <dcterms:modified xsi:type="dcterms:W3CDTF">2021-01-07T15:16:00Z</dcterms:modified>
</cp:coreProperties>
</file>